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08B4B">
      <w:pPr>
        <w:pStyle w:val="31"/>
        <w:jc w:val="center"/>
      </w:pPr>
      <w:r>
        <w:rPr>
          <w:rFonts w:ascii="Times New Roman" w:hAnsi="Times New Roman" w:eastAsia="黑体"/>
          <w:b/>
          <w:sz w:val="36"/>
        </w:rPr>
        <w:t>实验三　软件详细设计</w:t>
      </w:r>
    </w:p>
    <w:p w14:paraId="393AA6D1">
      <w:pPr>
        <w:spacing w:after="240"/>
        <w:jc w:val="center"/>
      </w:pPr>
      <w:r>
        <w:rPr>
          <w:rFonts w:ascii="Times New Roman" w:hAnsi="Times New Roman" w:eastAsia="宋体"/>
          <w:sz w:val="24"/>
        </w:rPr>
        <w:t>（实验报告）</w:t>
      </w:r>
    </w:p>
    <w:p w14:paraId="605AA30D">
      <w:pPr>
        <w:spacing w:after="240"/>
        <w:jc w:val="center"/>
      </w:pPr>
      <w:r>
        <w:rPr>
          <w:rFonts w:ascii="Times New Roman" w:hAnsi="Times New Roman" w:eastAsia="宋体"/>
          <w:sz w:val="24"/>
        </w:rPr>
        <w:t>姓名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  <w:lang w:val="en-US" w:eastAsia="zh-CN"/>
        </w:rPr>
        <w:t>余锦梁</w:t>
      </w:r>
      <w:r>
        <w:rPr>
          <w:rFonts w:ascii="Times New Roman" w:hAnsi="Times New Roman" w:eastAsia="宋体"/>
          <w:sz w:val="24"/>
        </w:rPr>
        <w:t>　学号</w:t>
      </w:r>
      <w:r>
        <w:rPr>
          <w:rFonts w:hint="eastAsia"/>
          <w:sz w:val="24"/>
          <w:lang w:eastAsia="zh-CN"/>
        </w:rPr>
        <w:t>：</w:t>
      </w:r>
      <w:r>
        <w:rPr>
          <w:rFonts w:hint="eastAsia"/>
          <w:sz w:val="24"/>
          <w:lang w:val="en-US" w:eastAsia="zh-CN"/>
        </w:rPr>
        <w:t>2024214914</w:t>
      </w:r>
      <w:r>
        <w:rPr>
          <w:rFonts w:ascii="Times New Roman" w:hAnsi="Times New Roman" w:eastAsia="宋体"/>
          <w:sz w:val="24"/>
        </w:rPr>
        <w:t>　班级：</w:t>
      </w:r>
      <w:r>
        <w:rPr>
          <w:rFonts w:hint="eastAsia"/>
          <w:sz w:val="24"/>
          <w:lang w:val="en-US" w:eastAsia="zh-CN"/>
        </w:rPr>
        <w:t>2421816</w:t>
      </w:r>
      <w:r>
        <w:rPr>
          <w:rFonts w:ascii="Times New Roman" w:hAnsi="Times New Roman" w:eastAsia="宋体"/>
          <w:sz w:val="24"/>
        </w:rPr>
        <w:t>　</w:t>
      </w:r>
    </w:p>
    <w:p w14:paraId="5FC7784E">
      <w:pPr>
        <w:pStyle w:val="3"/>
      </w:pPr>
      <w:r>
        <w:rPr>
          <w:rFonts w:ascii="Times New Roman" w:hAnsi="Times New Roman" w:eastAsia="黑体"/>
          <w:b/>
          <w:sz w:val="28"/>
        </w:rPr>
        <w:t>一、实验目的</w:t>
      </w:r>
    </w:p>
    <w:p w14:paraId="438C1955">
      <w:r>
        <w:t>学会运用几种常用的软件详细设计工具，如程序流程图、盒图、PAD图和判定表，将给定的软件问题描述转化为过程设计结果；同时进行环路复杂度（McCabe复杂度）计算，判断结构化设计结果的复杂性，为后续的编码实现与单元测试打下基础。</w:t>
      </w:r>
    </w:p>
    <w:p w14:paraId="28416C0B">
      <w:pPr>
        <w:pStyle w:val="3"/>
      </w:pPr>
      <w:r>
        <w:rPr>
          <w:rFonts w:ascii="Times New Roman" w:hAnsi="Times New Roman" w:eastAsia="黑体"/>
          <w:b/>
          <w:sz w:val="28"/>
        </w:rPr>
        <w:t>二、实验内容与要求</w:t>
      </w:r>
    </w:p>
    <w:p w14:paraId="65117E3A">
      <w:r>
        <w:t>（一）软件模块的详细设计：</w:t>
      </w:r>
    </w:p>
    <w:p w14:paraId="5813C6AE">
      <w:r>
        <w:t>1．某航空公司行李托运费问题的详细设计：乘客可免费托运重量不超过20公斤的行李，超过20公斤后，头等舱国内乘客超重部分每公斤收费6元，公务舱国内乘客每公斤收费8元，经济舱国内乘客每公斤收费10元；外国乘客超重部分每公斤收费比国内乘客多1.5倍；残疾乘客超重部分每公斤收费比正常乘客少一半。要求对该问题进行分析与设计。</w:t>
      </w:r>
    </w:p>
    <w:p w14:paraId="5023C0D5">
      <w:r>
        <w:t>2．在作业二（软件总体设计）所建立的“碎片化任务智能归集系统”软件体系及功能模块设计的基础上，自行选择软件中的核心模块进行分析，开展模块级详细设计。</w:t>
      </w:r>
    </w:p>
    <w:p w14:paraId="573542A6">
      <w:r>
        <w:t>（二）软件模块的详细设计任务：</w:t>
      </w:r>
    </w:p>
    <w:p w14:paraId="7382779B">
      <w:r>
        <w:t>1．绘制模块/算法程序流程图；2．用Word绘制详细设计结果的判定表；3．用类C/Java代码写出伪码；4．用McCabe方法计算程序复杂度（先将程序流程图映射为控制流图，再计算环形复杂度，并将计算过程写入实验报告）。</w:t>
      </w:r>
    </w:p>
    <w:p w14:paraId="4E4DB281">
      <w:pPr>
        <w:pStyle w:val="3"/>
      </w:pPr>
      <w:r>
        <w:rPr>
          <w:rFonts w:ascii="Times New Roman" w:hAnsi="Times New Roman" w:eastAsia="黑体"/>
          <w:b/>
          <w:sz w:val="28"/>
        </w:rPr>
        <w:t>三、实验设计与结果</w:t>
      </w:r>
    </w:p>
    <w:p w14:paraId="6AA42A01">
      <w:pPr>
        <w:pStyle w:val="4"/>
      </w:pPr>
      <w:r>
        <w:rPr>
          <w:rFonts w:ascii="Times New Roman" w:hAnsi="Times New Roman" w:eastAsia="黑体"/>
          <w:b/>
          <w:sz w:val="24"/>
        </w:rPr>
        <w:t>（一）航空公司行李托运费问题的详细设计</w:t>
      </w:r>
    </w:p>
    <w:p w14:paraId="485D43EB">
      <w:pPr>
        <w:pStyle w:val="5"/>
      </w:pPr>
      <w:r>
        <w:rPr>
          <w:rFonts w:ascii="Times New Roman" w:hAnsi="Times New Roman" w:eastAsia="黑体"/>
          <w:b/>
          <w:sz w:val="24"/>
        </w:rPr>
        <w:t>1．问题描述</w:t>
      </w:r>
    </w:p>
    <w:p w14:paraId="7C6FE015">
      <w:r>
        <w:t>某航空公司规定：乘客可免费托运重量不超过20公斤的行李。当行李重量超过20公斤时，对头等舱的国内乘客，超重部分每公斤收费6元；对公务舱的国内乘客，超重部分每公斤收费8元；对经济舱的国内乘客，超重部分每公斤收费10元。对外国乘客，超重部分每公斤收费比国内乘客多1.5倍；对残疾乘客，超重部分每公斤收费比正常乘客少一半。要求设计该行李托运费计算程序。</w:t>
      </w:r>
    </w:p>
    <w:p w14:paraId="2C3D91FF">
      <w:pPr>
        <w:pStyle w:val="5"/>
      </w:pPr>
      <w:r>
        <w:rPr>
          <w:rFonts w:ascii="Times New Roman" w:hAnsi="Times New Roman" w:eastAsia="黑体"/>
          <w:b/>
          <w:sz w:val="24"/>
        </w:rPr>
        <w:t>2．问题分析</w:t>
      </w:r>
    </w:p>
    <w:p w14:paraId="1530DD2E">
      <w:r>
        <w:t>该问题的输入数据为：行李重量W、乘客类型T（国内/外国）、舱位等级C（头等舱/公务舱/经济舱）、残疾标志D（正常/残疾）；输出数据为：应付托运费charge。计算规则可整理为：若W≤20，则不收费；若W&gt;20，超重重量excess=W-20，先按舱位确定国内正常乘客的基础单价（头等舱6元、公务舱8元、经济舱10元），再按乘客类型和残疾情况调整价格系数：外国乘客系数为1.5，残疾乘客系数为0.5（两类系数可叠加），最后按“费用=超重重量×基础单价×价格系数”计算托运费。</w:t>
      </w:r>
    </w:p>
    <w:p w14:paraId="772338D5">
      <w:pPr>
        <w:ind w:firstLine="0" w:firstLineChars="0"/>
      </w:pPr>
      <w:r>
        <w:t>说明：按教材对该题的通行理解，题中“外国乘客收费比国内乘客多1.5倍”即外国乘客单价为国内乘客对应舱位单价的1.5倍；“残疾乘客收费比正常乘客少一半”即残疾乘客单价为正常乘客单价的0.5倍，两类优惠可以叠加。</w:t>
      </w:r>
    </w:p>
    <w:p w14:paraId="2D86BCE8">
      <w:pPr>
        <w:pStyle w:val="5"/>
      </w:pPr>
      <w:r>
        <w:rPr>
          <w:rFonts w:ascii="Times New Roman" w:hAnsi="Times New Roman" w:eastAsia="黑体"/>
          <w:b/>
          <w:sz w:val="24"/>
        </w:rPr>
        <w:t>3．程序流程图</w:t>
      </w:r>
    </w:p>
    <w:p w14:paraId="7679839A">
      <w:r>
        <w:t>依据上述分析，用程序流程图描述行李托运费的计算过程，如图1所示。图中菱形框为判断节点，矩形框为处理节点，平行四边形框为输入/输出节点。</w:t>
      </w:r>
    </w:p>
    <w:p w14:paraId="46E221FF">
      <w:pPr>
        <w:spacing w:before="80" w:after="0"/>
        <w:jc w:val="center"/>
      </w:pPr>
      <w:r>
        <w:drawing>
          <wp:inline distT="0" distB="0" distL="114300" distR="114300">
            <wp:extent cx="4859655" cy="5487670"/>
            <wp:effectExtent l="0" t="0" r="190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548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4947">
      <w:pPr>
        <w:pStyle w:val="15"/>
      </w:pPr>
      <w:r>
        <w:rPr>
          <w:rFonts w:ascii="Times New Roman" w:hAnsi="Times New Roman" w:eastAsia="宋体"/>
          <w:sz w:val="21"/>
        </w:rPr>
        <w:t>图1　行李托运费计算程序流程图</w:t>
      </w:r>
    </w:p>
    <w:p w14:paraId="263907C5">
      <w:pPr>
        <w:pStyle w:val="5"/>
      </w:pPr>
      <w:r>
        <w:rPr>
          <w:rFonts w:ascii="Times New Roman" w:hAnsi="Times New Roman" w:eastAsia="黑体"/>
          <w:b/>
          <w:sz w:val="24"/>
        </w:rPr>
        <w:t>4．判定表</w:t>
      </w:r>
    </w:p>
    <w:p w14:paraId="57E24037">
      <w:r>
        <w:t>该算法含有多个条件（是否超重、乘客国籍、舱位等级、是否残疾）及其组合，适合用判定表描述。条件桩为：C1行李是否超重（W&gt;20）、C2乘客国籍（国内/外国）、C3舱位等级（头等舱/公务舱/经济舱）、C4是否残疾（是/否）；动作桩为：A1不收费、A2按对应单价收取超重费用。当行李未超重时，无论其他条件如何均不收费；当行李超重时，按国籍、舱位、残疾情况组合确定单价。行李托运费判定表如表1所示。</w:t>
      </w:r>
    </w:p>
    <w:p w14:paraId="56A666BF">
      <w:pPr>
        <w:pStyle w:val="15"/>
      </w:pPr>
      <w:r>
        <w:rPr>
          <w:rFonts w:ascii="Times New Roman" w:hAnsi="Times New Roman" w:eastAsia="宋体"/>
          <w:sz w:val="21"/>
        </w:rPr>
        <w:t>表1　行李托运费计算判定表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1F653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37" w:type="dxa"/>
            <w:vAlign w:val="center"/>
          </w:tcPr>
          <w:p w14:paraId="468D51C8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规则</w:t>
            </w:r>
          </w:p>
        </w:tc>
        <w:tc>
          <w:tcPr>
            <w:tcW w:w="1247" w:type="dxa"/>
            <w:vAlign w:val="center"/>
          </w:tcPr>
          <w:p w14:paraId="233881AB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超重（W&gt;20）</w:t>
            </w:r>
          </w:p>
        </w:tc>
        <w:tc>
          <w:tcPr>
            <w:tcW w:w="1247" w:type="dxa"/>
            <w:vAlign w:val="center"/>
          </w:tcPr>
          <w:p w14:paraId="36888D85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乘客国籍</w:t>
            </w:r>
          </w:p>
        </w:tc>
        <w:tc>
          <w:tcPr>
            <w:tcW w:w="1587" w:type="dxa"/>
            <w:vAlign w:val="center"/>
          </w:tcPr>
          <w:p w14:paraId="2997CAC0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舱位等级</w:t>
            </w:r>
          </w:p>
        </w:tc>
        <w:tc>
          <w:tcPr>
            <w:tcW w:w="1247" w:type="dxa"/>
            <w:vAlign w:val="center"/>
          </w:tcPr>
          <w:p w14:paraId="447FA78A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是否残疾</w:t>
            </w:r>
          </w:p>
        </w:tc>
        <w:tc>
          <w:tcPr>
            <w:tcW w:w="3118" w:type="dxa"/>
            <w:vAlign w:val="center"/>
          </w:tcPr>
          <w:p w14:paraId="6A9BA5BE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动作（托运费/元）</w:t>
            </w:r>
          </w:p>
        </w:tc>
      </w:tr>
      <w:tr w14:paraId="7D21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6C10433F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R1</w:t>
            </w:r>
          </w:p>
        </w:tc>
        <w:tc>
          <w:tcPr>
            <w:tcW w:w="1247" w:type="dxa"/>
            <w:vAlign w:val="center"/>
          </w:tcPr>
          <w:p w14:paraId="12C3F78C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247" w:type="dxa"/>
            <w:vAlign w:val="center"/>
          </w:tcPr>
          <w:p w14:paraId="2B042B21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587" w:type="dxa"/>
            <w:vAlign w:val="center"/>
          </w:tcPr>
          <w:p w14:paraId="65F6E3AF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vAlign w:val="center"/>
          </w:tcPr>
          <w:p w14:paraId="3D246AE9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3118" w:type="dxa"/>
            <w:vAlign w:val="center"/>
          </w:tcPr>
          <w:p w14:paraId="42EE480C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不收费（0）</w:t>
            </w:r>
          </w:p>
        </w:tc>
      </w:tr>
      <w:tr w14:paraId="57F9C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67D830A0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R2</w:t>
            </w:r>
          </w:p>
        </w:tc>
        <w:tc>
          <w:tcPr>
            <w:tcW w:w="1247" w:type="dxa"/>
            <w:vAlign w:val="center"/>
          </w:tcPr>
          <w:p w14:paraId="40AB555D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247" w:type="dxa"/>
            <w:vAlign w:val="center"/>
          </w:tcPr>
          <w:p w14:paraId="67D44C68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国内</w:t>
            </w:r>
          </w:p>
        </w:tc>
        <w:tc>
          <w:tcPr>
            <w:tcW w:w="1587" w:type="dxa"/>
            <w:vAlign w:val="center"/>
          </w:tcPr>
          <w:p w14:paraId="2D4295CB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头等舱</w:t>
            </w:r>
          </w:p>
        </w:tc>
        <w:tc>
          <w:tcPr>
            <w:tcW w:w="1247" w:type="dxa"/>
            <w:vAlign w:val="center"/>
          </w:tcPr>
          <w:p w14:paraId="4082C880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3118" w:type="dxa"/>
            <w:vAlign w:val="center"/>
          </w:tcPr>
          <w:p w14:paraId="15C7B4AB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excess×6</w:t>
            </w:r>
          </w:p>
        </w:tc>
      </w:tr>
      <w:tr w14:paraId="34B4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C6E8FD8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R3</w:t>
            </w:r>
          </w:p>
        </w:tc>
        <w:tc>
          <w:tcPr>
            <w:tcW w:w="1247" w:type="dxa"/>
            <w:vAlign w:val="center"/>
          </w:tcPr>
          <w:p w14:paraId="001D4483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247" w:type="dxa"/>
            <w:vAlign w:val="center"/>
          </w:tcPr>
          <w:p w14:paraId="65EACD33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国内</w:t>
            </w:r>
          </w:p>
        </w:tc>
        <w:tc>
          <w:tcPr>
            <w:tcW w:w="1587" w:type="dxa"/>
            <w:vAlign w:val="center"/>
          </w:tcPr>
          <w:p w14:paraId="4D4350C7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公务舱</w:t>
            </w:r>
          </w:p>
        </w:tc>
        <w:tc>
          <w:tcPr>
            <w:tcW w:w="1247" w:type="dxa"/>
            <w:vAlign w:val="center"/>
          </w:tcPr>
          <w:p w14:paraId="61CF20B5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3118" w:type="dxa"/>
            <w:vAlign w:val="center"/>
          </w:tcPr>
          <w:p w14:paraId="3E26A8BD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excess×8</w:t>
            </w:r>
          </w:p>
        </w:tc>
      </w:tr>
      <w:tr w14:paraId="072B8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0000BDB3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R4</w:t>
            </w:r>
          </w:p>
        </w:tc>
        <w:tc>
          <w:tcPr>
            <w:tcW w:w="1247" w:type="dxa"/>
            <w:vAlign w:val="center"/>
          </w:tcPr>
          <w:p w14:paraId="60C3BB03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247" w:type="dxa"/>
            <w:vAlign w:val="center"/>
          </w:tcPr>
          <w:p w14:paraId="5E842459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国内</w:t>
            </w:r>
          </w:p>
        </w:tc>
        <w:tc>
          <w:tcPr>
            <w:tcW w:w="1587" w:type="dxa"/>
            <w:vAlign w:val="center"/>
          </w:tcPr>
          <w:p w14:paraId="25A93231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经济舱</w:t>
            </w:r>
          </w:p>
        </w:tc>
        <w:tc>
          <w:tcPr>
            <w:tcW w:w="1247" w:type="dxa"/>
            <w:vAlign w:val="center"/>
          </w:tcPr>
          <w:p w14:paraId="7FB9A58D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3118" w:type="dxa"/>
            <w:vAlign w:val="center"/>
          </w:tcPr>
          <w:p w14:paraId="7DF8EEF6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excess×10</w:t>
            </w:r>
          </w:p>
        </w:tc>
      </w:tr>
      <w:tr w14:paraId="4ACB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719BA75F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R5</w:t>
            </w:r>
          </w:p>
        </w:tc>
        <w:tc>
          <w:tcPr>
            <w:tcW w:w="1247" w:type="dxa"/>
            <w:vAlign w:val="center"/>
          </w:tcPr>
          <w:p w14:paraId="4EC65347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247" w:type="dxa"/>
            <w:vAlign w:val="center"/>
          </w:tcPr>
          <w:p w14:paraId="33314D6B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外国</w:t>
            </w:r>
          </w:p>
        </w:tc>
        <w:tc>
          <w:tcPr>
            <w:tcW w:w="1587" w:type="dxa"/>
            <w:vAlign w:val="center"/>
          </w:tcPr>
          <w:p w14:paraId="16E77EBC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头等舱</w:t>
            </w:r>
          </w:p>
        </w:tc>
        <w:tc>
          <w:tcPr>
            <w:tcW w:w="1247" w:type="dxa"/>
            <w:vAlign w:val="center"/>
          </w:tcPr>
          <w:p w14:paraId="5F261087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3118" w:type="dxa"/>
            <w:vAlign w:val="center"/>
          </w:tcPr>
          <w:p w14:paraId="2330ECBD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excess×9（6×1.5）</w:t>
            </w:r>
          </w:p>
        </w:tc>
      </w:tr>
      <w:tr w14:paraId="7D5F8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0D9E1C72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R6</w:t>
            </w:r>
          </w:p>
        </w:tc>
        <w:tc>
          <w:tcPr>
            <w:tcW w:w="1247" w:type="dxa"/>
            <w:vAlign w:val="center"/>
          </w:tcPr>
          <w:p w14:paraId="4DFB5C09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247" w:type="dxa"/>
            <w:vAlign w:val="center"/>
          </w:tcPr>
          <w:p w14:paraId="7BC31C3F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外国</w:t>
            </w:r>
          </w:p>
        </w:tc>
        <w:tc>
          <w:tcPr>
            <w:tcW w:w="1587" w:type="dxa"/>
            <w:vAlign w:val="center"/>
          </w:tcPr>
          <w:p w14:paraId="0CC77150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公务舱</w:t>
            </w:r>
          </w:p>
        </w:tc>
        <w:tc>
          <w:tcPr>
            <w:tcW w:w="1247" w:type="dxa"/>
            <w:vAlign w:val="center"/>
          </w:tcPr>
          <w:p w14:paraId="5A8FCFED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3118" w:type="dxa"/>
            <w:vAlign w:val="center"/>
          </w:tcPr>
          <w:p w14:paraId="1F94972D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excess×12（8×1.5）</w:t>
            </w:r>
          </w:p>
        </w:tc>
      </w:tr>
      <w:tr w14:paraId="5C0B5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410CBD74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R7</w:t>
            </w:r>
          </w:p>
        </w:tc>
        <w:tc>
          <w:tcPr>
            <w:tcW w:w="1247" w:type="dxa"/>
            <w:vAlign w:val="center"/>
          </w:tcPr>
          <w:p w14:paraId="1EB7A2F1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247" w:type="dxa"/>
            <w:vAlign w:val="center"/>
          </w:tcPr>
          <w:p w14:paraId="6AE355BE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外国</w:t>
            </w:r>
          </w:p>
        </w:tc>
        <w:tc>
          <w:tcPr>
            <w:tcW w:w="1587" w:type="dxa"/>
            <w:vAlign w:val="center"/>
          </w:tcPr>
          <w:p w14:paraId="71B21FE2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经济舱</w:t>
            </w:r>
          </w:p>
        </w:tc>
        <w:tc>
          <w:tcPr>
            <w:tcW w:w="1247" w:type="dxa"/>
            <w:vAlign w:val="center"/>
          </w:tcPr>
          <w:p w14:paraId="405A78B7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3118" w:type="dxa"/>
            <w:vAlign w:val="center"/>
          </w:tcPr>
          <w:p w14:paraId="02A79761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excess×15（10×1.5）</w:t>
            </w:r>
          </w:p>
        </w:tc>
      </w:tr>
      <w:tr w14:paraId="0FB78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66D9F5D7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R8</w:t>
            </w:r>
          </w:p>
        </w:tc>
        <w:tc>
          <w:tcPr>
            <w:tcW w:w="1247" w:type="dxa"/>
            <w:vAlign w:val="center"/>
          </w:tcPr>
          <w:p w14:paraId="00235903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247" w:type="dxa"/>
            <w:vAlign w:val="center"/>
          </w:tcPr>
          <w:p w14:paraId="519DD3A0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国内</w:t>
            </w:r>
          </w:p>
        </w:tc>
        <w:tc>
          <w:tcPr>
            <w:tcW w:w="1587" w:type="dxa"/>
            <w:vAlign w:val="center"/>
          </w:tcPr>
          <w:p w14:paraId="56E78587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头等舱</w:t>
            </w:r>
          </w:p>
        </w:tc>
        <w:tc>
          <w:tcPr>
            <w:tcW w:w="1247" w:type="dxa"/>
            <w:vAlign w:val="center"/>
          </w:tcPr>
          <w:p w14:paraId="2017ED2C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3118" w:type="dxa"/>
            <w:vAlign w:val="center"/>
          </w:tcPr>
          <w:p w14:paraId="37281B19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excess×3（6×0.5）</w:t>
            </w:r>
          </w:p>
        </w:tc>
      </w:tr>
      <w:tr w14:paraId="13DE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4A258D2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R9</w:t>
            </w:r>
          </w:p>
        </w:tc>
        <w:tc>
          <w:tcPr>
            <w:tcW w:w="1247" w:type="dxa"/>
            <w:vAlign w:val="center"/>
          </w:tcPr>
          <w:p w14:paraId="60B84DAA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247" w:type="dxa"/>
            <w:vAlign w:val="center"/>
          </w:tcPr>
          <w:p w14:paraId="06F236E3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国内</w:t>
            </w:r>
          </w:p>
        </w:tc>
        <w:tc>
          <w:tcPr>
            <w:tcW w:w="1587" w:type="dxa"/>
            <w:vAlign w:val="center"/>
          </w:tcPr>
          <w:p w14:paraId="0096089B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公务舱</w:t>
            </w:r>
          </w:p>
        </w:tc>
        <w:tc>
          <w:tcPr>
            <w:tcW w:w="1247" w:type="dxa"/>
            <w:vAlign w:val="center"/>
          </w:tcPr>
          <w:p w14:paraId="11CC7BC0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3118" w:type="dxa"/>
            <w:vAlign w:val="center"/>
          </w:tcPr>
          <w:p w14:paraId="76FF4719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excess×4（8×0.5）</w:t>
            </w:r>
          </w:p>
        </w:tc>
      </w:tr>
      <w:tr w14:paraId="29B32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30E86502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R10</w:t>
            </w:r>
          </w:p>
        </w:tc>
        <w:tc>
          <w:tcPr>
            <w:tcW w:w="1247" w:type="dxa"/>
            <w:vAlign w:val="center"/>
          </w:tcPr>
          <w:p w14:paraId="08798DC8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247" w:type="dxa"/>
            <w:vAlign w:val="center"/>
          </w:tcPr>
          <w:p w14:paraId="73FE4888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国内</w:t>
            </w:r>
          </w:p>
        </w:tc>
        <w:tc>
          <w:tcPr>
            <w:tcW w:w="1587" w:type="dxa"/>
            <w:vAlign w:val="center"/>
          </w:tcPr>
          <w:p w14:paraId="1FBF848E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经济舱</w:t>
            </w:r>
          </w:p>
        </w:tc>
        <w:tc>
          <w:tcPr>
            <w:tcW w:w="1247" w:type="dxa"/>
            <w:vAlign w:val="center"/>
          </w:tcPr>
          <w:p w14:paraId="682B075B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3118" w:type="dxa"/>
            <w:vAlign w:val="center"/>
          </w:tcPr>
          <w:p w14:paraId="5FE83A57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excess×5（10×0.5）</w:t>
            </w:r>
          </w:p>
        </w:tc>
      </w:tr>
      <w:tr w14:paraId="04F39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06B2CBEB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R11</w:t>
            </w:r>
          </w:p>
        </w:tc>
        <w:tc>
          <w:tcPr>
            <w:tcW w:w="1247" w:type="dxa"/>
            <w:vAlign w:val="center"/>
          </w:tcPr>
          <w:p w14:paraId="6148C539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247" w:type="dxa"/>
            <w:vAlign w:val="center"/>
          </w:tcPr>
          <w:p w14:paraId="251A575F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外国</w:t>
            </w:r>
          </w:p>
        </w:tc>
        <w:tc>
          <w:tcPr>
            <w:tcW w:w="1587" w:type="dxa"/>
            <w:vAlign w:val="center"/>
          </w:tcPr>
          <w:p w14:paraId="6DD75B46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头等舱</w:t>
            </w:r>
          </w:p>
        </w:tc>
        <w:tc>
          <w:tcPr>
            <w:tcW w:w="1247" w:type="dxa"/>
            <w:vAlign w:val="center"/>
          </w:tcPr>
          <w:p w14:paraId="2846FA13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3118" w:type="dxa"/>
            <w:vAlign w:val="center"/>
          </w:tcPr>
          <w:p w14:paraId="2C296C90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excess×4.5（6×1.5×0.5）</w:t>
            </w:r>
          </w:p>
        </w:tc>
      </w:tr>
      <w:tr w14:paraId="45202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7DA587D2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R12</w:t>
            </w:r>
          </w:p>
        </w:tc>
        <w:tc>
          <w:tcPr>
            <w:tcW w:w="1247" w:type="dxa"/>
            <w:vAlign w:val="center"/>
          </w:tcPr>
          <w:p w14:paraId="47AEBAE0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247" w:type="dxa"/>
            <w:vAlign w:val="center"/>
          </w:tcPr>
          <w:p w14:paraId="5D5B7E2D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外国</w:t>
            </w:r>
          </w:p>
        </w:tc>
        <w:tc>
          <w:tcPr>
            <w:tcW w:w="1587" w:type="dxa"/>
            <w:vAlign w:val="center"/>
          </w:tcPr>
          <w:p w14:paraId="39AEC9DB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公务舱</w:t>
            </w:r>
          </w:p>
        </w:tc>
        <w:tc>
          <w:tcPr>
            <w:tcW w:w="1247" w:type="dxa"/>
            <w:vAlign w:val="center"/>
          </w:tcPr>
          <w:p w14:paraId="77C1CFC8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3118" w:type="dxa"/>
            <w:vAlign w:val="center"/>
          </w:tcPr>
          <w:p w14:paraId="23B3E4F5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excess×6（8×1.5×0.5）</w:t>
            </w:r>
          </w:p>
        </w:tc>
      </w:tr>
      <w:tr w14:paraId="6E4B1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37" w:type="dxa"/>
            <w:vAlign w:val="center"/>
          </w:tcPr>
          <w:p w14:paraId="203394BC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R13</w:t>
            </w:r>
          </w:p>
        </w:tc>
        <w:tc>
          <w:tcPr>
            <w:tcW w:w="1247" w:type="dxa"/>
            <w:vAlign w:val="center"/>
          </w:tcPr>
          <w:p w14:paraId="6CB1D5C6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247" w:type="dxa"/>
            <w:vAlign w:val="center"/>
          </w:tcPr>
          <w:p w14:paraId="50DEE63D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外国</w:t>
            </w:r>
          </w:p>
        </w:tc>
        <w:tc>
          <w:tcPr>
            <w:tcW w:w="1587" w:type="dxa"/>
            <w:vAlign w:val="center"/>
          </w:tcPr>
          <w:p w14:paraId="015691F2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经济舱</w:t>
            </w:r>
          </w:p>
        </w:tc>
        <w:tc>
          <w:tcPr>
            <w:tcW w:w="1247" w:type="dxa"/>
            <w:vAlign w:val="center"/>
          </w:tcPr>
          <w:p w14:paraId="2C526BE4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3118" w:type="dxa"/>
            <w:vAlign w:val="center"/>
          </w:tcPr>
          <w:p w14:paraId="1E5D9A7B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excess×7.5（10×1.5×0.5）</w:t>
            </w:r>
          </w:p>
        </w:tc>
      </w:tr>
    </w:tbl>
    <w:p w14:paraId="4747F0B9">
      <w:pPr>
        <w:ind w:firstLine="0" w:firstLineChars="0"/>
      </w:pPr>
    </w:p>
    <w:p w14:paraId="70D40F85">
      <w:r>
        <w:t>表中excess表示超重重量（excess=W-20）。该判定表共覆盖2×2×3×2=24种条件组合中的全部有效组合（未超重时其余条件无关，合并为规则R1），逻辑完整、无遗漏。</w:t>
      </w:r>
    </w:p>
    <w:p w14:paraId="4005C95C">
      <w:pPr>
        <w:pStyle w:val="5"/>
      </w:pPr>
      <w:r>
        <w:rPr>
          <w:rFonts w:ascii="Times New Roman" w:hAnsi="Times New Roman" w:eastAsia="黑体"/>
          <w:b/>
          <w:sz w:val="24"/>
        </w:rPr>
        <w:t>5．伪码（类C语言）</w:t>
      </w:r>
    </w:p>
    <w:p w14:paraId="4EE65DC7">
      <w:pPr>
        <w:ind w:firstLine="0" w:firstLineChars="0"/>
      </w:pPr>
      <w:r>
        <w:t>用类C语言描述行李托运费算法的伪码如下：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49FA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72889C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>/* 功能：计算航空行李超重托运费 */</w:t>
            </w:r>
          </w:p>
          <w:p w14:paraId="287F8E3B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>BEGIN</w:t>
            </w:r>
          </w:p>
          <w:p w14:paraId="030A954A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/* 输入：W为行李重量；T为乘客类型（0=国内，1=外国）；</w:t>
            </w:r>
          </w:p>
          <w:p w14:paraId="661B39AE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C为舱位等级（1=头等舱，2=公务舱，3=经济舱）；</w:t>
            </w:r>
          </w:p>
          <w:p w14:paraId="570A7D0D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D为残疾标志（0=正常，1=残疾） */</w:t>
            </w:r>
          </w:p>
          <w:p w14:paraId="0BF2CAFC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INPUT(W, T, C, D);</w:t>
            </w:r>
          </w:p>
          <w:p w14:paraId="431A3415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FREE_LIMIT = 20;                       /* 免费托运限额（公斤） */</w:t>
            </w:r>
          </w:p>
          <w:p w14:paraId="35020131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IF (W &lt;= FREE_LIMIT) THEN              /* 未超重，免费托运 */</w:t>
            </w:r>
          </w:p>
          <w:p w14:paraId="672EC0F5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charge = 0;</w:t>
            </w:r>
          </w:p>
          <w:p w14:paraId="45F71099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ELSE</w:t>
            </w:r>
          </w:p>
          <w:p w14:paraId="675D2FC4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excess = W - FREE_LIMIT;           /* 计算超重重量 */</w:t>
            </w:r>
          </w:p>
          <w:p w14:paraId="22A424AA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IF (T == 1) THEN                   /* 外国乘客：国内单价的1.5倍 */</w:t>
            </w:r>
          </w:p>
          <w:p w14:paraId="4051C72C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factor = 1.5;</w:t>
            </w:r>
          </w:p>
          <w:p w14:paraId="0F99EA34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ELSE</w:t>
            </w:r>
          </w:p>
          <w:p w14:paraId="536DA779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factor = 1.0;</w:t>
            </w:r>
          </w:p>
          <w:p w14:paraId="4936D0F3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ENDIF</w:t>
            </w:r>
          </w:p>
          <w:p w14:paraId="536E5844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IF (D == 1) THEN                   /* 残疾乘客：正常乘客的一半 */</w:t>
            </w:r>
          </w:p>
          <w:p w14:paraId="3097BC3B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factor = factor * 0.5;</w:t>
            </w:r>
          </w:p>
          <w:p w14:paraId="76F426B5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ENDIF</w:t>
            </w:r>
          </w:p>
          <w:p w14:paraId="4D722146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SWITCH (C)                         /* 按舱位确定国内基础单价 */</w:t>
            </w:r>
          </w:p>
          <w:p w14:paraId="165F8145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CASE 1: rate = 6;   BREAK;     /* 头等舱 */</w:t>
            </w:r>
          </w:p>
          <w:p w14:paraId="33DEE2AB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CASE 2: rate = 8;   BREAK;     /* 公务舱 */</w:t>
            </w:r>
          </w:p>
          <w:p w14:paraId="67AB48B2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CASE 3: rate = 10;  BREAK;     /* 经济舱 */</w:t>
            </w:r>
          </w:p>
          <w:p w14:paraId="3848DAF8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ENDSWITCH</w:t>
            </w:r>
          </w:p>
          <w:p w14:paraId="10507ADA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charge = excess * rate * factor;   /* 计算托运费 */</w:t>
            </w:r>
          </w:p>
          <w:p w14:paraId="644929C4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ENDIF</w:t>
            </w:r>
          </w:p>
          <w:p w14:paraId="675650CB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OUTPUT(charge);                        /* 输出托运费 */</w:t>
            </w:r>
          </w:p>
          <w:p w14:paraId="61D30651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>END</w:t>
            </w:r>
          </w:p>
        </w:tc>
      </w:tr>
    </w:tbl>
    <w:p w14:paraId="5869EE39">
      <w:pPr>
        <w:spacing w:after="40" w:line="240" w:lineRule="auto"/>
      </w:pPr>
    </w:p>
    <w:p w14:paraId="6E1F2393">
      <w:pPr>
        <w:pStyle w:val="5"/>
      </w:pPr>
      <w:r>
        <w:rPr>
          <w:rFonts w:ascii="Times New Roman" w:hAnsi="Times New Roman" w:eastAsia="黑体"/>
          <w:b/>
          <w:sz w:val="24"/>
        </w:rPr>
        <w:t>6．用McCabe方法计算程序复杂度</w:t>
      </w:r>
    </w:p>
    <w:p w14:paraId="26D173A4">
      <w:r>
        <w:t>先将图1的程序流程图映射为控制流图。控制流图中的节点表示一个或多个顺序执行的处理块，带箭头的有向边表示控制流向，判断节点引出两条分支。行李托运费算法的控制流图如图2所示（节点编号与图1中的处理步骤对应）。</w:t>
      </w:r>
    </w:p>
    <w:p w14:paraId="42077A59">
      <w:pPr>
        <w:spacing w:before="80" w:after="0"/>
        <w:jc w:val="center"/>
      </w:pPr>
      <w:r>
        <w:drawing>
          <wp:inline distT="0" distB="0" distL="114300" distR="114300">
            <wp:extent cx="4679950" cy="4923155"/>
            <wp:effectExtent l="0" t="0" r="1397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2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6CB9">
      <w:pPr>
        <w:pStyle w:val="15"/>
      </w:pPr>
      <w:r>
        <w:rPr>
          <w:rFonts w:ascii="Times New Roman" w:hAnsi="Times New Roman" w:eastAsia="宋体"/>
          <w:sz w:val="21"/>
        </w:rPr>
        <w:t>图2　行李托运费算法控制流图</w:t>
      </w:r>
    </w:p>
    <w:p w14:paraId="109E649D">
      <w:pPr>
        <w:pStyle w:val="4"/>
      </w:pPr>
      <w:r>
        <w:rPr>
          <w:rFonts w:hint="eastAsia" w:eastAsia="黑体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sz w:val="24"/>
        </w:rPr>
        <w:t>（二）“碎片化任务智能归集系统”核心模块的详细设计</w:t>
      </w:r>
    </w:p>
    <w:p w14:paraId="515A8468">
      <w:pPr>
        <w:pStyle w:val="5"/>
      </w:pPr>
      <w:r>
        <w:rPr>
          <w:rFonts w:ascii="Times New Roman" w:hAnsi="Times New Roman" w:eastAsia="黑体"/>
          <w:b/>
          <w:sz w:val="24"/>
        </w:rPr>
        <w:t>1．模块选择与功能分析</w:t>
      </w:r>
    </w:p>
    <w:p w14:paraId="446995E4">
      <w:r>
        <w:t>作业二的“碎片化任务智能归集系统”软件结构图中，系统划分为用户登录管理、任务录入处理、智能归集与分类、结果展示与导出四个一级模块。其中“智能归集与分类”模块承担系统的核心业务逻辑，下辖关键词提取、任务去重、智能归类三个二级功能，并与底层“优先级打分”“消息提醒”等支撑模块联动，是全系统的关键模块，故选择该模块进行详细设计。</w:t>
      </w:r>
    </w:p>
    <w:p w14:paraId="4F3AE65D">
      <w:r>
        <w:t>该模块的输入为：任务文本T（来源于文本导入、语音录入或手动输入）、已有任务库TaskBase、关键词规则库RuleBase；输出为：任务类别（匹配类别或“待人工分类”）、任务优先级（高/中/低）以及更新后的任务清单，并触发消息提醒。</w:t>
      </w:r>
    </w:p>
    <w:p w14:paraId="110E11D1">
      <w:pPr>
        <w:pStyle w:val="5"/>
      </w:pPr>
      <w:r>
        <w:rPr>
          <w:rFonts w:ascii="Times New Roman" w:hAnsi="Times New Roman" w:eastAsia="黑体"/>
          <w:b/>
          <w:sz w:val="24"/>
        </w:rPr>
        <w:t>2．模块处理流程设计</w:t>
      </w:r>
    </w:p>
    <w:p w14:paraId="3F4D2E67">
      <w:r>
        <w:t>模块处理流程设计如下：（1）对输入的任务文本提取关键词；（2）将关键词与任务库中已有任务比对，若相似度超过阈值则判定为重复任务，合并到原任务并标记重复，直接更新任务清单、触发消息提醒；（3）非重复任务按关键词与规则库类别匹配，匹配则归入对应类别（如会议、财务、人事等），未匹配则归入“待人工分类”；（4）进行优先级打分：关键词权重达到高阈值或任务紧急则置为高优先级，权重达到中阈值置为中优先级，否则为低优先级；（5）保存任务记录、更新任务清单与消息提醒；（6）输出分类结果与优先级。</w:t>
      </w:r>
    </w:p>
    <w:p w14:paraId="37AEF838">
      <w:pPr>
        <w:pStyle w:val="5"/>
      </w:pPr>
      <w:r>
        <w:rPr>
          <w:rFonts w:ascii="Times New Roman" w:hAnsi="Times New Roman" w:eastAsia="黑体"/>
          <w:b/>
          <w:sz w:val="24"/>
        </w:rPr>
        <w:t>3．程序流程图</w:t>
      </w:r>
    </w:p>
    <w:p w14:paraId="74A7765E">
      <w:r>
        <w:t>依据上述处理流程，绘制“智能归集与分类”模块的程序流程图，如图3所示。</w:t>
      </w:r>
    </w:p>
    <w:p w14:paraId="6130F762">
      <w:pPr>
        <w:spacing w:before="80" w:after="0"/>
        <w:jc w:val="center"/>
      </w:pPr>
      <w:r>
        <w:drawing>
          <wp:inline distT="0" distB="0" distL="114300" distR="114300">
            <wp:extent cx="4679950" cy="5692775"/>
            <wp:effectExtent l="0" t="0" r="1397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69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3576">
      <w:pPr>
        <w:pStyle w:val="15"/>
      </w:pPr>
      <w:r>
        <w:rPr>
          <w:rFonts w:ascii="Times New Roman" w:hAnsi="Times New Roman" w:eastAsia="宋体"/>
          <w:sz w:val="21"/>
        </w:rPr>
        <w:t>图3　智能归集与分类模块程序流程图</w:t>
      </w:r>
    </w:p>
    <w:p w14:paraId="0C056E1B">
      <w:pPr>
        <w:pStyle w:val="5"/>
      </w:pPr>
      <w:r>
        <w:rPr>
          <w:rFonts w:ascii="Times New Roman" w:hAnsi="Times New Roman" w:eastAsia="黑体"/>
          <w:b/>
          <w:sz w:val="24"/>
        </w:rPr>
        <w:t>4．判定表</w:t>
      </w:r>
    </w:p>
    <w:p w14:paraId="5690A051">
      <w:r>
        <w:t>模块的去重判断、类别匹配与优先级打分涉及多个条件组合，用判定表描述。条件桩为：C1与任务库是否重复、C2是否匹配规则库类别、C3是否高权重或紧急、C4是否中权重；动作桩为：A1合并任务并标记重复、A2归入对应类别、A3归入“待人工分类”、A4优先级=高、A5优先级=中、A6优先级=低、A7保存并更新任务清单。模块判定表如表2所示。</w:t>
      </w:r>
    </w:p>
    <w:p w14:paraId="2CE83BA0">
      <w:pPr>
        <w:pStyle w:val="15"/>
      </w:pPr>
      <w:r>
        <w:rPr>
          <w:rFonts w:ascii="Times New Roman" w:hAnsi="Times New Roman" w:eastAsia="宋体"/>
          <w:sz w:val="21"/>
        </w:rPr>
        <w:t>表2　智能归集与分类模块判定表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 w14:paraId="2CC14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vAlign w:val="center"/>
          </w:tcPr>
          <w:p w14:paraId="282D65D2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规则</w:t>
            </w:r>
          </w:p>
        </w:tc>
        <w:tc>
          <w:tcPr>
            <w:tcW w:w="1361" w:type="dxa"/>
            <w:vAlign w:val="center"/>
          </w:tcPr>
          <w:p w14:paraId="5E3A1E87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与任务库重复</w:t>
            </w:r>
          </w:p>
        </w:tc>
        <w:tc>
          <w:tcPr>
            <w:tcW w:w="1474" w:type="dxa"/>
            <w:vAlign w:val="center"/>
          </w:tcPr>
          <w:p w14:paraId="0F68B440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匹配规则库类别</w:t>
            </w:r>
          </w:p>
        </w:tc>
        <w:tc>
          <w:tcPr>
            <w:tcW w:w="1474" w:type="dxa"/>
            <w:vAlign w:val="center"/>
          </w:tcPr>
          <w:p w14:paraId="64017A44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高权重或紧急</w:t>
            </w:r>
          </w:p>
        </w:tc>
        <w:tc>
          <w:tcPr>
            <w:tcW w:w="1247" w:type="dxa"/>
            <w:vAlign w:val="center"/>
          </w:tcPr>
          <w:p w14:paraId="0184162E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中权重</w:t>
            </w:r>
          </w:p>
        </w:tc>
        <w:tc>
          <w:tcPr>
            <w:tcW w:w="2835" w:type="dxa"/>
            <w:vAlign w:val="center"/>
          </w:tcPr>
          <w:p w14:paraId="06AD5BD9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动作</w:t>
            </w:r>
          </w:p>
        </w:tc>
      </w:tr>
      <w:tr w14:paraId="2E6B9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5172589E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R1</w:t>
            </w:r>
          </w:p>
        </w:tc>
        <w:tc>
          <w:tcPr>
            <w:tcW w:w="1361" w:type="dxa"/>
            <w:vAlign w:val="center"/>
          </w:tcPr>
          <w:p w14:paraId="72C2C096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474" w:type="dxa"/>
            <w:vAlign w:val="center"/>
          </w:tcPr>
          <w:p w14:paraId="6EC4A219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474" w:type="dxa"/>
            <w:vAlign w:val="center"/>
          </w:tcPr>
          <w:p w14:paraId="74C6CC0C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vAlign w:val="center"/>
          </w:tcPr>
          <w:p w14:paraId="58CF5E3F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835" w:type="dxa"/>
            <w:vAlign w:val="center"/>
          </w:tcPr>
          <w:p w14:paraId="75736500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A1合并任务并标记重复；A7保存并更新任务清单</w:t>
            </w:r>
          </w:p>
        </w:tc>
      </w:tr>
      <w:tr w14:paraId="2D325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745109A0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R2</w:t>
            </w:r>
          </w:p>
        </w:tc>
        <w:tc>
          <w:tcPr>
            <w:tcW w:w="1361" w:type="dxa"/>
            <w:vAlign w:val="center"/>
          </w:tcPr>
          <w:p w14:paraId="35F47197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6B95D5AB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474" w:type="dxa"/>
            <w:vAlign w:val="center"/>
          </w:tcPr>
          <w:p w14:paraId="7E43A851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247" w:type="dxa"/>
            <w:vAlign w:val="center"/>
          </w:tcPr>
          <w:p w14:paraId="140078D6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835" w:type="dxa"/>
            <w:vAlign w:val="center"/>
          </w:tcPr>
          <w:p w14:paraId="03EA4627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A2归入对应类别；A4优先级=高；A7</w:t>
            </w:r>
          </w:p>
        </w:tc>
      </w:tr>
      <w:tr w14:paraId="16EC0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1A8546E2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R3</w:t>
            </w:r>
          </w:p>
        </w:tc>
        <w:tc>
          <w:tcPr>
            <w:tcW w:w="1361" w:type="dxa"/>
            <w:vAlign w:val="center"/>
          </w:tcPr>
          <w:p w14:paraId="701269F2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7F9971F3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474" w:type="dxa"/>
            <w:vAlign w:val="center"/>
          </w:tcPr>
          <w:p w14:paraId="26C9995D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247" w:type="dxa"/>
            <w:vAlign w:val="center"/>
          </w:tcPr>
          <w:p w14:paraId="55DA91A6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2835" w:type="dxa"/>
            <w:vAlign w:val="center"/>
          </w:tcPr>
          <w:p w14:paraId="55EA80D6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A2归入对应类别；A5优先级=中；A7</w:t>
            </w:r>
          </w:p>
        </w:tc>
      </w:tr>
      <w:tr w14:paraId="77C28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459E579F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R4</w:t>
            </w:r>
          </w:p>
        </w:tc>
        <w:tc>
          <w:tcPr>
            <w:tcW w:w="1361" w:type="dxa"/>
            <w:vAlign w:val="center"/>
          </w:tcPr>
          <w:p w14:paraId="12554D7E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61D3D707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474" w:type="dxa"/>
            <w:vAlign w:val="center"/>
          </w:tcPr>
          <w:p w14:paraId="796EABFA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247" w:type="dxa"/>
            <w:vAlign w:val="center"/>
          </w:tcPr>
          <w:p w14:paraId="60C5FF76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2835" w:type="dxa"/>
            <w:vAlign w:val="center"/>
          </w:tcPr>
          <w:p w14:paraId="5853A12D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A2归入对应类别；A6优先级=低；A7</w:t>
            </w:r>
          </w:p>
        </w:tc>
      </w:tr>
      <w:tr w14:paraId="647A2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2AB37EC9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R5</w:t>
            </w:r>
          </w:p>
        </w:tc>
        <w:tc>
          <w:tcPr>
            <w:tcW w:w="1361" w:type="dxa"/>
            <w:vAlign w:val="center"/>
          </w:tcPr>
          <w:p w14:paraId="1AB0B51C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64E26924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26DA7622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1247" w:type="dxa"/>
            <w:vAlign w:val="center"/>
          </w:tcPr>
          <w:p w14:paraId="62F0D12B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2835" w:type="dxa"/>
            <w:vAlign w:val="center"/>
          </w:tcPr>
          <w:p w14:paraId="14423455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A3归入“待人工分类”；A4优先级=高；A7</w:t>
            </w:r>
          </w:p>
        </w:tc>
      </w:tr>
      <w:tr w14:paraId="41970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64BD1647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R6</w:t>
            </w:r>
          </w:p>
        </w:tc>
        <w:tc>
          <w:tcPr>
            <w:tcW w:w="1361" w:type="dxa"/>
            <w:vAlign w:val="center"/>
          </w:tcPr>
          <w:p w14:paraId="2F1B4DF0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43E64900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4F5E73CA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247" w:type="dxa"/>
            <w:vAlign w:val="center"/>
          </w:tcPr>
          <w:p w14:paraId="05C39BC4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w="2835" w:type="dxa"/>
            <w:vAlign w:val="center"/>
          </w:tcPr>
          <w:p w14:paraId="19A66AAE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A3归入“待人工分类”；A5优先级=中；A7</w:t>
            </w:r>
          </w:p>
        </w:tc>
      </w:tr>
      <w:tr w14:paraId="77445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vAlign w:val="center"/>
          </w:tcPr>
          <w:p w14:paraId="077C00FB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R7</w:t>
            </w:r>
          </w:p>
        </w:tc>
        <w:tc>
          <w:tcPr>
            <w:tcW w:w="1361" w:type="dxa"/>
            <w:vAlign w:val="center"/>
          </w:tcPr>
          <w:p w14:paraId="5B3B5F82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560FB591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474" w:type="dxa"/>
            <w:vAlign w:val="center"/>
          </w:tcPr>
          <w:p w14:paraId="37CA3BE9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1247" w:type="dxa"/>
            <w:vAlign w:val="center"/>
          </w:tcPr>
          <w:p w14:paraId="18050B73">
            <w:pPr>
              <w:spacing w:before="20" w:after="20" w:line="240" w:lineRule="auto"/>
              <w:ind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w="2835" w:type="dxa"/>
            <w:vAlign w:val="center"/>
          </w:tcPr>
          <w:p w14:paraId="1A10370F">
            <w:pPr>
              <w:spacing w:before="20" w:after="20" w:line="240" w:lineRule="auto"/>
              <w:ind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A3归入“待人工分类”；A6优先级=低；A7</w:t>
            </w:r>
          </w:p>
        </w:tc>
      </w:tr>
    </w:tbl>
    <w:p w14:paraId="7B630A07">
      <w:pPr>
        <w:ind w:firstLine="0" w:firstLineChars="0"/>
      </w:pPr>
    </w:p>
    <w:p w14:paraId="321D0BFC">
      <w:r>
        <w:t>判定表中“重复任务”规则优先级最高，一旦判定重复即执行合并，不再进行归类与优先级打分；其余规则按“类别匹配→优先级”两级条件组合划分，逻辑完整、无冗余。</w:t>
      </w:r>
    </w:p>
    <w:p w14:paraId="000C88DE">
      <w:pPr>
        <w:pStyle w:val="5"/>
      </w:pPr>
      <w:r>
        <w:rPr>
          <w:rFonts w:ascii="Times New Roman" w:hAnsi="Times New Roman" w:eastAsia="黑体"/>
          <w:b/>
          <w:sz w:val="24"/>
        </w:rPr>
        <w:t>5．伪码（类Java语言）</w:t>
      </w:r>
    </w:p>
    <w:p w14:paraId="585B0EBB">
      <w:pPr>
        <w:ind w:firstLine="0" w:firstLineChars="0"/>
      </w:pPr>
      <w:r>
        <w:t>用类Java语言描述该模块算法的伪码如下：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0B4A2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19874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>/* 功能：任务智能归集与分类（关键词提取→任务去重→智能归类→优先级打分） */</w:t>
            </w:r>
          </w:p>
          <w:p w14:paraId="6F612355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>public class TaskClassifier {</w:t>
            </w:r>
          </w:p>
          <w:p w14:paraId="265488C2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public Result classify(Task task, TaskBase taskBase,</w:t>
            </w:r>
          </w:p>
          <w:p w14:paraId="4833C25E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               RuleBase ruleBase) {</w:t>
            </w:r>
          </w:p>
          <w:p w14:paraId="5EB57FAD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// 1. 提取任务关键词</w:t>
            </w:r>
          </w:p>
          <w:p w14:paraId="5ECC181B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keywords = extractKeywords(task.getText());</w:t>
            </w:r>
          </w:p>
          <w:p w14:paraId="0FE99B79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// 2. 任务去重：与任务库比对，相似度超过阈值视为重复</w:t>
            </w:r>
          </w:p>
          <w:p w14:paraId="6C727226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if (isDuplicate(keywords, taskBase)) {</w:t>
            </w:r>
          </w:p>
          <w:p w14:paraId="3803A629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taskBase.mergeToExisting(keywords);  // 合并到原任务</w:t>
            </w:r>
          </w:p>
          <w:p w14:paraId="54EDD4DE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task.markDuplicated();               // 标记重复</w:t>
            </w:r>
          </w:p>
          <w:p w14:paraId="4791976D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taskBase.updateTaskList();           // 更新任务清单</w:t>
            </w:r>
          </w:p>
          <w:p w14:paraId="49AFAD5F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return new Result(“重复任务，已合并”, task.getPriority());</w:t>
            </w:r>
          </w:p>
          <w:p w14:paraId="0A660C56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}</w:t>
            </w:r>
          </w:p>
          <w:p w14:paraId="5137472C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// 3. 智能归类：关键词与规则库类别匹配</w:t>
            </w:r>
          </w:p>
          <w:p w14:paraId="1D5E66DD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String category;</w:t>
            </w:r>
          </w:p>
          <w:p w14:paraId="02805BEE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if (ruleBase.matchCategory(keywords)) {</w:t>
            </w:r>
          </w:p>
          <w:p w14:paraId="46121101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category = ruleBase.getMatchedCategory();  // 归入匹配类别</w:t>
            </w:r>
          </w:p>
          <w:p w14:paraId="286A6E9E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} else {</w:t>
            </w:r>
          </w:p>
          <w:p w14:paraId="6FEA1D1C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category = “待人工分类”;                    // 未匹配则转入工分类</w:t>
            </w:r>
          </w:p>
          <w:p w14:paraId="7EBEADA1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}</w:t>
            </w:r>
          </w:p>
          <w:p w14:paraId="72766294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// 4. 优先级打分</w:t>
            </w:r>
          </w:p>
          <w:p w14:paraId="407D23CA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Priority priority;</w:t>
            </w:r>
          </w:p>
          <w:p w14:paraId="432F97B0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if (getWeight(keywords) &gt;= HIGH_WEIGHT || task.isUrgent()) {</w:t>
            </w:r>
          </w:p>
          <w:p w14:paraId="43F2A078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priority = HIGH;                      // 高优先级</w:t>
            </w:r>
          </w:p>
          <w:p w14:paraId="701468C2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} else if (getWeight(keywords) &gt;= MID_WEIGHT) {</w:t>
            </w:r>
          </w:p>
          <w:p w14:paraId="3C2134B9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priority = MID;                       // 中优先级</w:t>
            </w:r>
          </w:p>
          <w:p w14:paraId="399C51CB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} else {</w:t>
            </w:r>
          </w:p>
          <w:p w14:paraId="7A1C6665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    priority = LOW;                       // 低优先级</w:t>
            </w:r>
          </w:p>
          <w:p w14:paraId="0B7086D0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}</w:t>
            </w:r>
          </w:p>
          <w:p w14:paraId="1AECA6A8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// 5. 保存任务记录并更新任务清单</w:t>
            </w:r>
          </w:p>
          <w:p w14:paraId="4164579C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taskBase.saveTask(category, priority);</w:t>
            </w:r>
          </w:p>
          <w:p w14:paraId="1F0D8C4B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taskBase.updateTaskList();</w:t>
            </w:r>
          </w:p>
          <w:p w14:paraId="11412259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    return new Result(category, priority);</w:t>
            </w:r>
          </w:p>
          <w:p w14:paraId="0DE2857A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 xml:space="preserve">    }</w:t>
            </w:r>
          </w:p>
          <w:p w14:paraId="193A7D6F">
            <w:pPr>
              <w:spacing w:before="0" w:after="0" w:line="240" w:lineRule="auto"/>
              <w:ind w:left="0"/>
            </w:pPr>
            <w:r>
              <w:rPr>
                <w:rFonts w:ascii="Courier New" w:hAnsi="Courier New" w:eastAsia="宋体"/>
                <w:sz w:val="18"/>
              </w:rPr>
              <w:t>}</w:t>
            </w:r>
          </w:p>
        </w:tc>
      </w:tr>
    </w:tbl>
    <w:p w14:paraId="7014A7FB">
      <w:pPr>
        <w:spacing w:after="40" w:line="240" w:lineRule="auto"/>
      </w:pPr>
    </w:p>
    <w:p w14:paraId="17C62D78">
      <w:pPr>
        <w:pStyle w:val="5"/>
      </w:pPr>
      <w:r>
        <w:rPr>
          <w:rFonts w:ascii="Times New Roman" w:hAnsi="Times New Roman" w:eastAsia="黑体"/>
          <w:b/>
          <w:sz w:val="24"/>
        </w:rPr>
        <w:t>6．用McCabe方法计算程序复杂度</w:t>
      </w:r>
    </w:p>
    <w:p w14:paraId="16ABCEF6">
      <w:r>
        <w:t>将图3的程序流程图映射为控制流图，如图4所示。其中节点4（重复判断）、6（类别匹配判断）、9（高权重或紧急判断）、11（中权重判断）为判定节点，节点5为“重复”分支的处理节点，节点10、12、13为优先级赋值节点，节点14为所有分支的汇合点。</w:t>
      </w:r>
    </w:p>
    <w:p w14:paraId="42C3ECD0">
      <w:pPr>
        <w:spacing w:before="80" w:after="0"/>
        <w:jc w:val="center"/>
      </w:pPr>
      <w:r>
        <w:drawing>
          <wp:inline distT="0" distB="0" distL="114300" distR="114300">
            <wp:extent cx="4679950" cy="4923155"/>
            <wp:effectExtent l="0" t="0" r="1397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2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B88E">
      <w:pPr>
        <w:pStyle w:val="15"/>
      </w:pPr>
      <w:r>
        <w:rPr>
          <w:rFonts w:ascii="Times New Roman" w:hAnsi="Times New Roman" w:eastAsia="宋体"/>
          <w:sz w:val="21"/>
        </w:rPr>
        <w:t>图4　智能归集与分类模块控制流图</w:t>
      </w:r>
    </w:p>
    <w:p w14:paraId="1B3CDB10">
      <w:r>
        <w:t>该控制流图共有节点数N=17，边数E=20，判定节点数P=4。用McCabe方法的三种等价公式计算环形复杂度V(G)：</w:t>
      </w:r>
    </w:p>
    <w:p w14:paraId="496A921F">
      <w:pPr>
        <w:ind w:firstLine="0" w:firstLineChars="0"/>
      </w:pPr>
      <w:r>
        <w:t>方法一（边-节点公式）：V(G)=E-N+2=20-17+2=5；</w:t>
      </w:r>
    </w:p>
    <w:p w14:paraId="1B276A3A">
      <w:pPr>
        <w:ind w:firstLine="0" w:firstLineChars="0"/>
      </w:pPr>
      <w:r>
        <w:t>方法二（判定节点公式）：V(G)=P+1=4+1=5；</w:t>
      </w:r>
    </w:p>
    <w:p w14:paraId="6863234C">
      <w:pPr>
        <w:ind w:firstLine="0" w:firstLineChars="0"/>
      </w:pPr>
      <w:r>
        <w:t>方法三（区域计数法）：该控制流图把平面划分为5个区域（4个内部封闭区域加1个外部区域），故V(G)=5。</w:t>
      </w:r>
    </w:p>
    <w:p w14:paraId="620844D5">
      <w:r>
        <w:t>三种方法计算结果一致：环形复杂度V(G)=5，说明该模块有5条独立的基本路径。模块规模适中、结构规整，复杂度较低，便于实现与测试。</w:t>
      </w:r>
    </w:p>
    <w:p w14:paraId="23839B5A">
      <w:pPr>
        <w:pStyle w:val="3"/>
      </w:pPr>
      <w:r>
        <w:rPr>
          <w:rFonts w:ascii="Times New Roman" w:hAnsi="Times New Roman" w:eastAsia="黑体"/>
          <w:b/>
          <w:sz w:val="28"/>
        </w:rPr>
        <w:t>四、实验总结</w:t>
      </w:r>
    </w:p>
    <w:p w14:paraId="4626C656">
      <w:r>
        <w:t>通过本次实验，我掌握了软件详细设计的常用表达工具及其适用场景：程序流程图直观表达算法的控制流程，判定表擅长描述多条件组合下的复杂决策规则，伪码介于自然语言与高级语言之间、便于向代码过渡，McCabe环形复杂度则从数量上度量程序控制流的复杂程度，为测试用例设计与程序结构评价提供了依据。</w:t>
      </w:r>
    </w:p>
    <w:p w14:paraId="42D459EF">
      <w:r>
        <w:t>在行李托运费问题的设计中，我体会到将自然语言描述的收费规则逐层分解为“是否超重—国籍/残疾调整—舱位取价”的判定结构，并用判定表穷举全部条件组合，可有效避免规则遗漏；经McCabe计算，该算法环形复杂度为6，需要6条基本路径的测试覆盖。在“碎片化任务智能归集系统”的智能归集与分类模块设计中，我将系统的核心业务逻辑（关键词提取、任务去重、智能归类、优先级打分）落实到流程图与伪码，并借助判定表明确了重复、未匹配等特殊情况的处理策略，模块环形复杂度为5，结构清晰。本次实验使我对“详细设计决定程序质量”有了更具体的认识，也为后续编码实现和单元测试奠定了基础。</w:t>
      </w:r>
      <w:bookmarkStart w:id="0" w:name="_GoBack"/>
      <w:bookmarkEnd w:id="0"/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02075">
    <w:pPr>
      <w:pStyle w:val="24"/>
      <w:jc w:val="center"/>
    </w:pPr>
    <w:r>
      <w:rPr>
        <w:sz w:val="21"/>
      </w:rPr>
      <w:fldChar w:fldCharType="begin"/>
    </w:r>
    <w:r>
      <w:rPr>
        <w:sz w:val="21"/>
      </w:rPr>
      <w:instrText xml:space="preserve">PAGE</w:instrTex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C6259D"/>
    <w:rsid w:val="37AA6F40"/>
    <w:rsid w:val="53A1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60" w:lineRule="auto"/>
      <w:ind w:firstLineChars="200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jc w:val="left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jc w:val="left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jc w:val="left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  <w:jc w:val="center"/>
    </w:pPr>
    <w:rPr>
      <w:rFonts w:ascii="Times New Roman" w:hAnsi="Times New Roman" w:eastAsia="宋体"/>
      <w:bCs/>
      <w:color w:val="000000"/>
      <w:sz w:val="21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20" w:after="36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1368</Words>
  <Characters>1443</Characters>
  <Lines>0</Lines>
  <Paragraphs>0</Paragraphs>
  <TotalTime>25</TotalTime>
  <ScaleCrop>false</ScaleCrop>
  <LinksUpToDate>false</LinksUpToDate>
  <CharactersWithSpaces>1449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Lenovo</cp:lastModifiedBy>
  <dcterms:modified xsi:type="dcterms:W3CDTF">2026-10-20T03:02:43Z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eyJoZGlkIjoiZmUzOTAwZDNmMTk2OGI5YWJhNDEzYTExZjAyMDJiYWIifQ==</vt:lpwstr>
  </property>
  <property fmtid="{D5CDD505-2E9C-101B-9397-08002B2CF9AE}" pid="3" name="KSOProductBuildVer">
    <vt:lpwstr>2052-12.1.0.21915</vt:lpwstr>
  </property>
  <property fmtid="{D5CDD505-2E9C-101B-9397-08002B2CF9AE}" pid="4" name="ICV">
    <vt:lpwstr>5DFBA298F29B42A68996336F4ABC4594_13</vt:lpwstr>
  </property>
</Properties>
</file>