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实验三  软件详细设计</w:t>
      </w:r>
    </w:p>
    <w:p>
      <w:pPr>
        <w:spacing w:after="200"/>
        <w:jc w:val="center"/>
      </w:pPr>
      <w:r>
        <w:rPr>
          <w:rFonts w:ascii="Times New Roman" w:hAnsi="Times New Roman" w:eastAsia="楷体"/>
          <w:color w:val="000000"/>
          <w:sz w:val="24"/>
        </w:rPr>
        <w:t>软件工程导论实验报告</w:t>
      </w:r>
    </w:p>
    <w:p>
      <w:pPr>
        <w:pStyle w:val="Heading1"/>
        <w:keepNext/>
        <w:spacing w:before="20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一、实验目的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学会运用几种常用的软件详细设计工具，如程序流程图、盒图、PAD图和判定表，将给定的软件问题描述转化为过程设计结果；同时进行环路复杂度（McCabe圈复杂度）计算，判断结构化设计结果的复杂性。</w:t>
      </w:r>
    </w:p>
    <w:p>
      <w:pPr>
        <w:pStyle w:val="Heading1"/>
        <w:keepNext/>
        <w:spacing w:before="20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二、实验内容</w:t>
      </w:r>
    </w:p>
    <w:p>
      <w:pPr>
        <w:pStyle w:val="Heading2"/>
        <w:keepNext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（一）软件模块的详细设计</w:t>
      </w:r>
    </w:p>
    <w:p>
      <w:pPr>
        <w:pStyle w:val="Heading2"/>
        <w:keepNext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1．航空公司行李托运费问题详细设计</w:t>
      </w:r>
    </w:p>
    <w:p>
      <w:pPr>
        <w:pStyle w:val="Heading2"/>
        <w:keepNext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（1）问题描述与算法分析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某航空公司规定：乘客可免费托运重量不超过20公斤的行李；当行李重量超过20公斤时，对头等舱的国内乘客，超重部分每公斤收费6元；对公务舱的国内乘客，超重部分每公斤收费8元；对经济舱的国内乘客，超重部分每公斤收费10元。外国顾客超重部分每公斤收费比国内乘客多1.5倍（本设计按国内对应舱位单价的1.5倍处理）；残疾乘客超重部分每公斤收费比正常乘客少一半（即按正常单价的0.5倍处理）。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算法思路：首先判断行李重量是否不超过20公斤，若不超过则免费托运；否则根据舱位类型确定基础超重单价（头等6元、公务8元、经济10元），再依次判断是否外国顾客、是否残疾乘客，对单价进行系数修正，最后计算超重费用：费用=(W-20)×单价。</w:t>
      </w:r>
    </w:p>
    <w:p>
      <w:pPr>
        <w:pStyle w:val="Heading2"/>
        <w:keepNext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（2）程序流程图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6643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6643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图1  航空行李托运费计算程序流程图</w:t>
      </w:r>
    </w:p>
    <w:p>
      <w:pPr>
        <w:pStyle w:val="Heading2"/>
        <w:keepNext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（3）判定表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依据问题中的判断条件，构造判定表如下。条件桩包括：重量是否不超过20公斤、是否为头等舱、是否为公务舱、是否为外国顾客、是否为残疾乘客；动作桩对应免费托运及各档单价修正。</w:t>
      </w:r>
    </w:p>
    <w:p>
      <w:pPr>
        <w:spacing w:before="80"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表1  航空行李托运费问题判定表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1928"/>
            <w:shd w:val="clear" w:color="auto" w:fill="D9D9D9"/>
            <w:vAlign w:val="center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条件/动作</w:t>
            </w:r>
          </w:p>
        </w:tc>
        <w:tc>
          <w:tcPr>
            <w:tcW w:type="dxa" w:w="879"/>
            <w:shd w:val="clear" w:color="auto" w:fill="D9D9D9"/>
            <w:vAlign w:val="center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规则1</w:t>
            </w:r>
          </w:p>
        </w:tc>
        <w:tc>
          <w:tcPr>
            <w:tcW w:type="dxa" w:w="879"/>
            <w:shd w:val="clear" w:color="auto" w:fill="D9D9D9"/>
            <w:vAlign w:val="center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规则2</w:t>
            </w:r>
          </w:p>
        </w:tc>
        <w:tc>
          <w:tcPr>
            <w:tcW w:type="dxa" w:w="879"/>
            <w:shd w:val="clear" w:color="auto" w:fill="D9D9D9"/>
            <w:vAlign w:val="center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规则3</w:t>
            </w:r>
          </w:p>
        </w:tc>
        <w:tc>
          <w:tcPr>
            <w:tcW w:type="dxa" w:w="879"/>
            <w:shd w:val="clear" w:color="auto" w:fill="D9D9D9"/>
            <w:vAlign w:val="center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规则4</w:t>
            </w:r>
          </w:p>
        </w:tc>
        <w:tc>
          <w:tcPr>
            <w:tcW w:type="dxa" w:w="879"/>
            <w:shd w:val="clear" w:color="auto" w:fill="D9D9D9"/>
            <w:vAlign w:val="center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规则5</w:t>
            </w:r>
          </w:p>
        </w:tc>
        <w:tc>
          <w:tcPr>
            <w:tcW w:type="dxa" w:w="879"/>
            <w:shd w:val="clear" w:color="auto" w:fill="D9D9D9"/>
            <w:vAlign w:val="center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规则6</w:t>
            </w:r>
          </w:p>
        </w:tc>
        <w:tc>
          <w:tcPr>
            <w:tcW w:type="dxa" w:w="879"/>
            <w:shd w:val="clear" w:color="auto" w:fill="D9D9D9"/>
            <w:vAlign w:val="center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规则7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C1：重量 W≤20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C2：头等舱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C3：公务舱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C4：外国顾客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C5：残疾乘客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A1：免费托运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A2：超重单价=6元/kg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A3：超重单价=8元/kg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A4：超重单价=10元/kg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A5：单价×1.5（外国）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A6：单价×0.5（残疾）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</w:tr>
    </w:tbl>
    <w:p>
      <w:pPr>
        <w:spacing w:after="40"/>
      </w:pP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注：规则5为“头等舱+外国”，单价=6×1.5=9元/kg；规则6为“公务舱+外国”，单价=8×1.5=12元/kg；规则7为“经济舱+外国+残疾”，单价=10×1.5×0.5=7.5元/kg。费用均按（W-20）×单价计算。</w:t>
      </w:r>
    </w:p>
    <w:p>
      <w:pPr>
        <w:pStyle w:val="Heading2"/>
        <w:keepNext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（4）伪码（类C语言）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>// 输入：行李重量 W，舱位类型 type（1头等/2公务/3经济），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>//       国籍 nation（0国内/1外国），是否残疾 dis（0否/1是）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>if (W &lt;= 20) {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printf("免费托运");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>} else {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double price;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switch (type) {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    case 1: price = 6;  break;  // 头等舱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    case 2: price = 8;  break;  // 公务舱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    default: price = 10;        // 经济舱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}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if (nation == 1) price = price * 1.5;   // 外国顾客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if (dis == 1)    price = price * 0.5;    // 残疾乘客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double fee = (W - 20) * price;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printf("托运费 = %.2f 元", fee);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>}</w:t>
      </w:r>
    </w:p>
    <w:p>
      <w:pPr>
        <w:spacing w:after="80"/>
      </w:pPr>
    </w:p>
    <w:p>
      <w:pPr>
        <w:pStyle w:val="Heading2"/>
        <w:keepNext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（5）McCabe圈复杂度计算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将图1的程序流程图映射为程序流图。图中判定节点（菱形判断框）有5个，分别是：①重量是否≤20公斤；②是否为头等舱；③是否为公务舱；④是否为外国顾客；⑤是否为残疾乘客。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按判定节点公式计算圈复杂度：V(G)=P+1，其中P为判定节点数。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V(G)=P+1=5+1=6。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因此，航空行李托运费计算程序的圈复杂度为6，说明该模块包含6条线性无关的基本路径，结构相对适中，可进一步通过分解舱位计算子模块来降低复杂度。</w:t>
      </w:r>
    </w:p>
    <w:p>
      <w:pPr>
        <w:pStyle w:val="Heading2"/>
        <w:keepNext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2．基于“饭兜”小程序的“临期折扣推荐”模块详细设计</w:t>
      </w:r>
    </w:p>
    <w:p>
      <w:pPr>
        <w:pStyle w:val="Heading2"/>
        <w:keepNext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（1）模块来源与功能分析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作业二“饭兜——小饭馆临期饭菜提醒小账本”的软件体系及功能模块设计中，系统包含“备菜量预估”“临期打折推荐”“一键推送顾客群”“自动扣库存记账”“月度统计”等核心功能。本实验选取其中最具业务价值的核心模块——“临期折扣推荐模块”进行详细设计。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该模块的功能是：在临近打烊时，根据菜品的剩余量、当日备货量、距打烊时间等参数，自动判断哪些菜品需要打折、打几折，并生成打折信息推送给顾客群，从而减少临期浪费。</w:t>
      </w:r>
    </w:p>
    <w:p>
      <w:pPr>
        <w:pStyle w:val="Heading2"/>
        <w:keepNext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（2）程序流程图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5822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82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图2  临期折扣推荐模块程序流程图</w:t>
      </w:r>
    </w:p>
    <w:p>
      <w:pPr>
        <w:pStyle w:val="Heading2"/>
        <w:keepNext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（3）判定表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该模块的判定条件包括：是否已售完（R=0）、剩余量是否超过当日备货量的30%、距打烊时间是否不超过30分钟、是否不超过60分钟。构造判定表如下。</w:t>
      </w:r>
    </w:p>
    <w:p>
      <w:pPr>
        <w:spacing w:before="80"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表2  临期折扣推荐模块判定表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条件/动作</w:t>
            </w:r>
          </w:p>
        </w:tc>
        <w:tc>
          <w:tcPr>
            <w:tcW w:type="dxa" w:w="1361"/>
            <w:shd w:val="clear" w:color="auto" w:fill="D9D9D9"/>
            <w:vAlign w:val="center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规则1</w:t>
            </w:r>
          </w:p>
        </w:tc>
        <w:tc>
          <w:tcPr>
            <w:tcW w:type="dxa" w:w="1361"/>
            <w:shd w:val="clear" w:color="auto" w:fill="D9D9D9"/>
            <w:vAlign w:val="center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规则2</w:t>
            </w:r>
          </w:p>
        </w:tc>
        <w:tc>
          <w:tcPr>
            <w:tcW w:type="dxa" w:w="1361"/>
            <w:shd w:val="clear" w:color="auto" w:fill="D9D9D9"/>
            <w:vAlign w:val="center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规则3</w:t>
            </w:r>
          </w:p>
        </w:tc>
        <w:tc>
          <w:tcPr>
            <w:tcW w:type="dxa" w:w="1361"/>
            <w:shd w:val="clear" w:color="auto" w:fill="D9D9D9"/>
            <w:vAlign w:val="center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规则4</w:t>
            </w:r>
          </w:p>
        </w:tc>
        <w:tc>
          <w:tcPr>
            <w:tcW w:type="dxa" w:w="1361"/>
            <w:shd w:val="clear" w:color="auto" w:fill="D9D9D9"/>
            <w:vAlign w:val="center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规则5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C1：R=0（已售完）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C2：R&gt;30%×B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C3：T≤30分钟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C4：T≤60分钟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A1：不推荐打折（正常售卖）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A2：折扣=5折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A3：折扣=7折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A4：折扣=8折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A5：生成打折信息并推送顾客群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</w:tr>
    </w:tbl>
    <w:p>
      <w:pPr>
        <w:spacing w:after="40"/>
      </w:pP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注：规则5表示剩余量超过备货量30%且距打烊时间大于60分钟时，仍有较多剩余，按8折促销；距打烊越近折扣力度越大（5折、7折、8折），以尽快清空临期菜品。</w:t>
      </w:r>
    </w:p>
    <w:p>
      <w:pPr>
        <w:pStyle w:val="Heading2"/>
        <w:keepNext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（4）伪码（类Java语言）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>// 输入：菜品剩余量 R，当日备货量 B，距打烊时间 T（分钟）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>if (R == 0) {                    // 已售完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return;                       // 无需推荐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>}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>if (R &gt; 0.3 * B) {               // 剩余量偏多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double discount;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if (T &lt;= 30) {                // 距打烊≤30分钟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    discount = 0.5;            // 5折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} else if (T &lt;= 60) {         // 30&lt;T≤60分钟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    discount = 0.7;            // 7折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} else {                      // T&gt;60分钟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    discount = 0.8;            // 8折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}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pushDiscount(discount);       // 生成打折信息并推送顾客群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>} else {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 xml:space="preserve">    return;                       // 剩余正常，不推荐打折</w:t>
      </w:r>
    </w:p>
    <w:p>
      <w:pPr>
        <w:spacing w:line="240" w:lineRule="auto" w:after="0"/>
        <w:ind w:left="283"/>
      </w:pPr>
      <w:r>
        <w:rPr>
          <w:rFonts w:ascii="Consolas" w:hAnsi="Consolas" w:eastAsia="宋体"/>
          <w:color w:val="000000"/>
          <w:sz w:val="21"/>
        </w:rPr>
        <w:t>}</w:t>
      </w:r>
    </w:p>
    <w:p>
      <w:pPr>
        <w:spacing w:after="80"/>
      </w:pPr>
    </w:p>
    <w:p>
      <w:pPr>
        <w:pStyle w:val="Heading2"/>
        <w:keepNext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（5）McCabe圈复杂度计算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将图2的程序流程图映射为程序流图。图中判定节点（菱形判断框）有4个，分别是：①是否已售完（R=0）；②剩余量是否超过备货量的30%；③距打烊时间是否≤30分钟；④距打烊时间是否≤60分钟。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按判定节点公式计算圈复杂度：V(G)=P+1，其中P为判定节点数。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V(G)=P+1=4+1=5。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该模块圈复杂度为5，判定逻辑清晰、路径有限，结构合理，便于维护和测试。</w:t>
      </w:r>
    </w:p>
    <w:p>
      <w:pPr>
        <w:pStyle w:val="Heading1"/>
        <w:keepNext/>
        <w:spacing w:before="20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三、实验结果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实验完成了两项软件详细设计任务：一是针对航空公司行李托运费问题，给出了程序流程图、判定表、类C伪码，并利用McCabe方法计算出圈复杂度为6；二是基于作业二“饭兜”小程序，选取核心模块“临期折扣推荐模块”进行详细设计，给出了程序流程图、判定表、类Java伪码，圈复杂度为5。通过本实验，掌握了程序流程图、判定表等详细设计工具的运用方法，并能够使用McCabe方法量化程序控制流的复杂程度，达到了实验目的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