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国安 vs 武汉三镇（2026-06-27）销量预测验证说明</w:t>
      </w:r>
    </w:p>
    <w:p>
      <w:r>
        <w:rPr>
          <w:rFonts w:ascii="微软雅黑" w:hAnsi="微软雅黑" w:eastAsia="微软雅黑"/>
          <w:i/>
          <w:color w:val="666666"/>
          <w:sz w:val="18"/>
        </w:rPr>
        <w:t>生成日期：2026-06-24 ｜ 模型版本：V5.4+V8.2</w:t>
      </w:r>
    </w:p>
    <w:p>
      <w:pPr>
        <w:pStyle w:val="Heading1"/>
      </w:pPr>
      <w:r>
        <w:rPr>
          <w:rFonts w:ascii="微软雅黑" w:hAnsi="微软雅黑" w:eastAsia="微软雅黑"/>
        </w:rPr>
        <w:t>一、问题背景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当前预测：9200 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实时销售：开售 78 小时（占总窗口 146 小时的 53.4%），已售 4048 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待验证假设：下一场 7/3（或 7/4）vs 山东泰山为 A 级德比，间隔约 7 天，是否存在"前瞻挤压效应"——球迷把预算留给泰山，导致武汉销量被压低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二次质疑：是否遗漏了其他应叠加的负面因素；销售后半段占比更大是否意味着 4048 不算慢</w:t>
      </w:r>
    </w:p>
    <w:p>
      <w:pPr>
        <w:pStyle w:val="Heading1"/>
      </w:pPr>
      <w:r>
        <w:rPr>
          <w:rFonts w:ascii="微软雅黑" w:hAnsi="微软雅黑" w:eastAsia="微软雅黑"/>
        </w:rPr>
        <w:t>二、数据源与局限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局限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all_unified.parquet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56 场主场历史销量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md 字段全是比赛日期赋值，无真实销售时间戳，无法重建销售曲线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calibration.json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 年 7 场预测/实际校准记录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仅含赛后调整后实际值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match_adjustments.json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联票分摊修正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 年 5 月四场联票各 +573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csl_final_production_ready.json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CSL 赛程/积分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关键局限：项目内没有任何历史销售时间分布数据，无法用历史曲线验证"后半段占比更大"这一经验。</w:t>
      </w:r>
    </w:p>
    <w:p>
      <w:pPr>
        <w:pStyle w:val="Heading1"/>
      </w:pPr>
      <w:r>
        <w:rPr>
          <w:rFonts w:ascii="微软雅黑" w:hAnsi="微软雅黑" w:eastAsia="微软雅黑"/>
        </w:rPr>
        <w:t>三、初始假设：前瞻挤压效应</w:t>
      </w:r>
    </w:p>
    <w:p>
      <w:r>
        <w:rPr>
          <w:rFonts w:ascii="微软雅黑" w:hAnsi="微软雅黑" w:eastAsia="微软雅黑"/>
          <w:b w:val="0"/>
          <w:sz w:val="21"/>
        </w:rPr>
        <w:t>定义：当前 B/C 级比赛 + 下一场 A/S 级或德比 + 间隔短 → 球迷预算分流 → 当前场销量折损。</w:t>
      </w:r>
    </w:p>
    <w:p>
      <w:pPr>
        <w:pStyle w:val="Heading1"/>
      </w:pPr>
      <w:r>
        <w:rPr>
          <w:rFonts w:ascii="微软雅黑" w:hAnsi="微软雅黑" w:eastAsia="微软雅黑"/>
        </w:rPr>
        <w:t>四、方法论修正（重要）</w:t>
      </w:r>
    </w:p>
    <w:p>
      <w:pPr>
        <w:pStyle w:val="Heading2"/>
      </w:pPr>
      <w:r>
        <w:rPr>
          <w:rFonts w:ascii="微软雅黑" w:hAnsi="微软雅黑" w:eastAsia="微软雅黑"/>
        </w:rPr>
        <w:t>错误做法（第一轮分析）</w:t>
      </w:r>
    </w:p>
    <w:p>
      <w:r>
        <w:rPr>
          <w:rFonts w:ascii="微软雅黑" w:hAnsi="微软雅黑" w:eastAsia="微软雅黑"/>
          <w:b w:val="0"/>
          <w:sz w:val="21"/>
        </w:rPr>
        <w:t>用"同年同等级平均销量"做基准对比：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案例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销量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同年同等级均值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比值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2024-06-26 沧州(C)→4天后泰山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5426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7684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"折损29%"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2026-05-06 大连(C)→4天后海港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4365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"折损22%"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挤压组 vs 对照组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0.90 vs 1.04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"净效应13.8%"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这是伪相关。均值对比无法排除"这些场次本身就有其他负面因素"的干扰。</w:t>
      </w:r>
    </w:p>
    <w:p>
      <w:pPr>
        <w:pStyle w:val="Heading2"/>
      </w:pPr>
      <w:r>
        <w:rPr>
          <w:rFonts w:ascii="微软雅黑" w:hAnsi="微软雅黑" w:eastAsia="微软雅黑"/>
        </w:rPr>
        <w:t>正确做法：模型残差分析</w:t>
      </w:r>
    </w:p>
    <w:p>
      <w:r>
        <w:rPr>
          <w:rFonts w:ascii="微软雅黑" w:hAnsi="微软雅黑" w:eastAsia="微软雅黑"/>
          <w:b w:val="0"/>
          <w:sz w:val="21"/>
        </w:rPr>
        <w:t>用规则引擎的预测值做基准，看实际销量相对预测的偏差（残差）。如果挤压效应真实且未被模型捕捉，挤压场次的残差应系统性为负。</w:t>
      </w:r>
    </w:p>
    <w:p>
      <w:pPr>
        <w:pStyle w:val="Heading1"/>
      </w:pPr>
      <w:r>
        <w:rPr>
          <w:rFonts w:ascii="微软雅黑" w:hAnsi="微软雅黑" w:eastAsia="微软雅黑"/>
        </w:rPr>
        <w:t>五、历史案例验证（模型残差）</w:t>
      </w:r>
    </w:p>
    <w:p>
      <w:r>
        <w:rPr>
          <w:rFonts w:ascii="微软雅黑" w:hAnsi="微软雅黑" w:eastAsia="微软雅黑"/>
          <w:b w:val="0"/>
          <w:sz w:val="21"/>
        </w:rPr>
        <w:t>对两个"挤压候选"案例跑完整上下文检测 + 预测：</w:t>
      </w:r>
    </w:p>
    <w:p>
      <w:pPr>
        <w:pStyle w:val="Heading2"/>
      </w:pPr>
      <w:r>
        <w:rPr>
          <w:rFonts w:ascii="微软雅黑" w:hAnsi="微软雅黑" w:eastAsia="微软雅黑"/>
        </w:rPr>
        <w:t>案例1：2024-06-26 沧州雄狮(C)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模型预测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5735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实际销量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5426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触发上下文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season_opener（×1.17，但 C 级基值 5700 本就低）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残差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+5.7%（预测略高于实际）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下一场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 天后 vs 山东泰山(A 德比)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结论：沧州销量低是因为它是 C 级弱队（基值 5700），不是因为被挤压。模型预测 5735 已接近实际 5426，误差仅 5.7%。"29% 折损"是用均值对比制造的假象——2024 年另两场 C 级（南通 8888、青岛西海岸 8297）拉高了均值。</w:t>
      </w:r>
    </w:p>
    <w:p>
      <w:pPr>
        <w:pStyle w:val="Heading2"/>
      </w:pPr>
      <w:r>
        <w:rPr>
          <w:rFonts w:ascii="微软雅黑" w:hAnsi="微软雅黑" w:eastAsia="微软雅黑"/>
        </w:rPr>
        <w:t>案例2：2026-05-06 大连英博海发(C)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模型预测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4020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parquet 原始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3419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联票调整后实际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3992（+573 四场联票分摊）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触发上下文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consecutive_home_losses（×0.82，近 2 主场全败）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残差（调整后）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+0.7%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下一场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 天后 vs 上海海港(A)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结论：大连销量低是因为连续主场败绩，模型通过 consecutive_home_losses ×0.82 已经捕捉到了，预测 4020 ≈ 实际 3992。第一轮用 parquet 原始值 3419 算出的"22% 折损"是漏算 573 联票导致的误差。</w:t>
      </w:r>
    </w:p>
    <w:p>
      <w:pPr>
        <w:pStyle w:val="Heading2"/>
      </w:pPr>
      <w:r>
        <w:rPr>
          <w:rFonts w:ascii="微软雅黑" w:hAnsi="微软雅黑" w:eastAsia="微软雅黑"/>
        </w:rPr>
        <w:t>小结</w:t>
      </w:r>
    </w:p>
    <w:p>
      <w:r>
        <w:rPr>
          <w:rFonts w:ascii="微软雅黑" w:hAnsi="微软雅黑" w:eastAsia="微软雅黑"/>
          <w:b/>
          <w:sz w:val="21"/>
        </w:rPr>
        <w:t>两个"挤压案例"在模型层面的残差分别为 +5.7% 和 +0.7%，都不支持挤压效应存在。销量下降均有其他明确原因（C 级弱队 / 连续主场败绩），且已被模型上下文捕捉。</w:t>
      </w:r>
    </w:p>
    <w:p>
      <w:pPr>
        <w:pStyle w:val="Heading1"/>
      </w:pPr>
      <w:r>
        <w:rPr>
          <w:rFonts w:ascii="微软雅黑" w:hAnsi="微软雅黑" w:eastAsia="微软雅黑"/>
        </w:rPr>
        <w:t>六、武汉 6/27 完整上下文叠加</w:t>
      </w:r>
    </w:p>
    <w:p>
      <w:pPr>
        <w:pStyle w:val="Heading2"/>
      </w:pPr>
      <w:r>
        <w:rPr>
          <w:rFonts w:ascii="微软雅黑" w:hAnsi="微软雅黑" w:eastAsia="微软雅黑"/>
        </w:rPr>
        <w:t>预测拆解</w:t>
      </w:r>
    </w:p>
    <w:p>
      <w:pPr>
        <w:ind w:left="283"/>
      </w:pPr>
      <w:r>
        <w:rPr>
          <w:rFonts w:ascii="Consolas" w:hAnsi="Consolas"/>
          <w:sz w:val="20"/>
        </w:rPr>
        <w:t>8200  (B 级基值 TIER_BASE["B"])</w:t>
        <w:br/>
        <w:t xml:space="preserve"> × 1.02  (saturday，6/27 为周六)</w:t>
        <w:br/>
        <w:t xml:space="preserve"> × 1.10  (midseason_restart，间歇期≥28 天后首场，6-7 月)</w:t>
        <w:br/>
        <w:t xml:space="preserve"> = 9200</w:t>
      </w:r>
    </w:p>
    <w:p>
      <w:pPr>
        <w:pStyle w:val="Heading2"/>
      </w:pPr>
      <w:r>
        <w:rPr>
          <w:rFonts w:ascii="微软雅黑" w:hAnsi="微软雅黑" w:eastAsia="微软雅黑"/>
        </w:rPr>
        <w:t>触发与未触发的上下文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上下文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是否触发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乘数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saturday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6/27 周六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midseason_restart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间歇期后首场（正面）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season_opener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非赛季首场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derby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武汉非德比对手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poor_home_form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 3 主场未≥2 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consecutive_home_losses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 2 主场未全败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heavy_home_loss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无大败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away_winless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无客场连不胜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short_rest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上一主场距今&gt;4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summer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 月非 7-8 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top3_form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国安未排前 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forward_squeeze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不存在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模型无此规则，且证据不支持加入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没有遗漏的负面因素。武汉这场唯一的情境是间歇期重启（正面 +10%），9200 已经是叠加所有适用因素后的综合预测。</w:t>
      </w:r>
    </w:p>
    <w:p>
      <w:pPr>
        <w:pStyle w:val="Heading2"/>
      </w:pPr>
      <w:r>
        <w:rPr>
          <w:rFonts w:ascii="微软雅黑" w:hAnsi="微软雅黑" w:eastAsia="微软雅黑"/>
        </w:rPr>
        <w:t>下一场信息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2026-07-04（或 7/3，赛程略有出入）vs 山东泰山，A 级 + 德比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间隔约 7 天（非 4 天）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 天间隔比沧州/大连的 4 天更长，而 4 天案例都不支持挤压，7 天更不可能</w:t>
      </w:r>
    </w:p>
    <w:p>
      <w:pPr>
        <w:pStyle w:val="Heading1"/>
      </w:pPr>
      <w:r>
        <w:rPr>
          <w:rFonts w:ascii="微软雅黑" w:hAnsi="微软雅黑" w:eastAsia="微软雅黑"/>
        </w:rPr>
        <w:t>七、销售进度情景分析</w:t>
      </w:r>
    </w:p>
    <w:p>
      <w:r>
        <w:rPr>
          <w:rFonts w:ascii="微软雅黑" w:hAnsi="微软雅黑" w:eastAsia="微软雅黑"/>
          <w:b w:val="0"/>
          <w:sz w:val="21"/>
        </w:rPr>
        <w:t>项目无历史销售曲线数据，无法验证"后半段占比更大"。基于用户提供的实时数据做情景推算：</w:t>
      </w:r>
    </w:p>
    <w:p>
      <w:r>
        <w:rPr>
          <w:rFonts w:ascii="微软雅黑" w:hAnsi="微软雅黑" w:eastAsia="微软雅黑"/>
          <w:b/>
          <w:sz w:val="21"/>
        </w:rPr>
        <w:t>已售：78 小时 / 146 小时 = 53.4% 时间，卖出 4048 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 53% 时间占最终销量比例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推算最终销量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vs 9200 预测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10120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高出 +10%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完全吻合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8996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 −2%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8096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 −12%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若"后半段占比更大"成立（前 53% 占比 &lt; 50%），最终落在 8996 ~ 10120 区间，9200 预测处于该区间的合理偏低位置。</w:t>
      </w:r>
    </w:p>
    <w:p>
      <w:pPr>
        <w:pStyle w:val="Heading1"/>
      </w:pPr>
      <w:r>
        <w:rPr>
          <w:rFonts w:ascii="微软雅黑" w:hAnsi="微软雅黑" w:eastAsia="微软雅黑"/>
        </w:rPr>
        <w:t>八、2026 赛季模型基准可靠性</w:t>
      </w:r>
    </w:p>
    <w:p>
      <w:r>
        <w:rPr>
          <w:rFonts w:ascii="微软雅黑" w:hAnsi="微软雅黑" w:eastAsia="微软雅黑"/>
          <w:b w:val="0"/>
          <w:sz w:val="21"/>
        </w:rPr>
        <w:t>calibration.json 中 2026 年 7 场校准记录：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比值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03-21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上海申花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15037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15482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04-12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成都蓉城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8393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8341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0.99（APE 0.6%）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04-25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天津津门虎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11118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11084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05-06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大连英博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0.99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05-10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上海海港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6396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6576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05-15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青岛海牛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5700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5884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05-23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8364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8224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0.98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18"/>
        </w:rPr>
        <w:t>* 成都蓉城一场看板预测 8393（触发"客场全败"×0.77），实际 8341，APE 0.6%，无高估。注：calibration.json 中 pred=10682 为旧路径记录，看板赛前预测才是实际使用值。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 场全部误差 &lt; 1%</w:t>
      </w:r>
    </w:p>
    <w:p>
      <w:r>
        <w:rPr>
          <w:rFonts w:ascii="微软雅黑" w:hAnsi="微软雅黑" w:eastAsia="微软雅黑"/>
          <w:b/>
          <w:sz w:val="21"/>
        </w:rPr>
        <w:t>模型在 2026 赛季整体可靠，9200 预测的可信度有历史支撑。</w:t>
      </w:r>
    </w:p>
    <w:p>
      <w:pPr>
        <w:pStyle w:val="Heading1"/>
      </w:pPr>
      <w:r>
        <w:rPr>
          <w:rFonts w:ascii="微软雅黑" w:hAnsi="微软雅黑" w:eastAsia="微软雅黑"/>
        </w:rPr>
        <w:t>九、综合结论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前瞻挤压效应不成立。用模型残差（正确方法）验证两个历史 4 天间隔挤压案例，残差分别为 +5.7% 和 +0.7%，均不支持挤压存在。之前用均值对比得出的"13.8%~29% 折损"是伪相关，已修正。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武汉 9200 预测已叠加所有适用因素，无遗漏的负面上下文。间歇期重启是正面因素（+10%），国安近况不触发任何惩罚规则。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销售进度不构成下调理由。53% 时间卖出 4048 张，若后半段加速（用户经验），最终落在 9000~9500 区间，与 9200 预测吻合。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不建议加入 forward_squeeze 规则。证据不支持，且会引入未标定的乘数，降低模型整体可靠性。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预期最终销量：9000 ~ 9500 张，9200 预测处于合理区间。</w:t>
      </w:r>
    </w:p>
    <w:p>
      <w:pPr>
        <w:pStyle w:val="Heading1"/>
      </w:pPr>
      <w:r>
        <w:rPr>
          <w:rFonts w:ascii="微软雅黑" w:hAnsi="微软雅黑" w:eastAsia="微软雅黑"/>
        </w:rPr>
        <w:t>十、建议的后续动作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不加挤压规则，维持 9200 预测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赛后用 python scripts/workflow.py post-match --opponent "武汉三镇" --date 2026-06-27 --actual &lt;实际值&gt; 回填校准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若实际显著偏离 9200（&gt;±15%），再排查是否有未捕捉因素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如需建立销售曲线监控能力，需另接入大麦实时销售时间戳数据（当前 parquet 不具备）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——————————————————————————————</w:t>
      </w:r>
    </w:p>
    <w:p>
      <w:r>
        <w:rPr>
          <w:rFonts w:ascii="微软雅黑" w:hAnsi="微软雅黑" w:eastAsia="微软雅黑"/>
          <w:b w:val="0"/>
          <w:sz w:val="18"/>
        </w:rPr>
        <w:t>数据局限声明：本报告基于 all_unified.parquet（56 场主场，2023-2026）和 calibration.json。parquet 无真实销售时间戳，销售曲线相关结论基于用户提供的实时数据情景推算，非历史回测。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