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国安 vs 武汉三镇（6月27日）票务预测偏差分析</w:t>
      </w:r>
    </w:p>
    <w:p>
      <w:r>
        <w:rPr>
          <w:rFonts w:ascii="微软雅黑" w:hAnsi="微软雅黑" w:eastAsia="微软雅黑"/>
          <w:i/>
          <w:color w:val="666666"/>
          <w:sz w:val="20"/>
        </w:rPr>
        <w:t>2026年6月24日</w:t>
      </w:r>
    </w:p>
    <w:p>
      <w:pPr>
        <w:pStyle w:val="Heading1"/>
      </w:pPr>
      <w:r>
        <w:rPr>
          <w:rFonts w:ascii="微软雅黑" w:hAnsi="微软雅黑" w:eastAsia="微软雅黑"/>
        </w:rPr>
        <w:t>一、发生了什么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模型预测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销速曲线预测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武汉三镇主场票房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9,200张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约6,600张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高估39%，多算2,600张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模型预测9200张，但开售后4天仅卖出3,959张，按销速曲线（调整D4→D7倍数后）预测中位值约6,600张。预测严重偏高。</w:t>
      </w:r>
    </w:p>
    <w:p>
      <w:pPr>
        <w:pStyle w:val="Heading2"/>
      </w:pPr>
      <w:r>
        <w:rPr>
          <w:rFonts w:ascii="微软雅黑" w:hAnsi="微软雅黑" w:eastAsia="微软雅黑"/>
        </w:rPr>
        <w:t>6,600张是怎么预测的</w:t>
      </w:r>
    </w:p>
    <w:p>
      <w:r>
        <w:rPr>
          <w:rFonts w:ascii="微软雅黑" w:hAnsi="微软雅黑" w:eastAsia="微软雅黑"/>
          <w:b w:val="0"/>
          <w:sz w:val="22"/>
        </w:rPr>
        <w:t>根据2025-2026赛季历史数据，7天销售周期的比赛中，第4天累计销量约为最终销量的60%（即最终销量 ≈ 第4天销量 × 1.67倍）。</w:t>
      </w:r>
    </w:p>
    <w:p>
      <w:r>
        <w:rPr>
          <w:rFonts w:ascii="微软雅黑" w:hAnsi="微软雅黑" w:eastAsia="微软雅黑"/>
          <w:b/>
          <w:sz w:val="22"/>
        </w:rPr>
        <w:t>武汉开售4天累计3,959张 → 3,959 × 1.67 ≈ 6,600张</w:t>
      </w:r>
    </w:p>
    <w:p>
      <w:r>
        <w:rPr>
          <w:rFonts w:ascii="微软雅黑" w:hAnsi="微软雅黑" w:eastAsia="微软雅黑"/>
          <w:b w:val="0"/>
          <w:sz w:val="22"/>
        </w:rPr>
        <w:t>这不是猜测，而是基于历史销售曲线的统计预测。第4天数据已经能反映最终销量的趋势。</w:t>
      </w:r>
    </w:p>
    <w:p>
      <w:pPr>
        <w:pStyle w:val="Heading2"/>
      </w:pPr>
      <w:r>
        <w:rPr>
          <w:rFonts w:ascii="微软雅黑" w:hAnsi="微软雅黑" w:eastAsia="微软雅黑"/>
        </w:rPr>
        <w:t>销速趋势还揭示了什么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趋势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购买节奏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前4天卖了55%以上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前4天只卖45-55%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球迷决策延后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整体需求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7个对手中5个上座率下降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需求系统性下滑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票池扩大了5-41%，但销量没有同步增长，说明实际吸引力在降低。</w:t>
      </w:r>
    </w:p>
    <w:p>
      <w:pPr>
        <w:pStyle w:val="Heading1"/>
      </w:pPr>
      <w:r>
        <w:rPr>
          <w:rFonts w:ascii="微软雅黑" w:hAnsi="微软雅黑" w:eastAsia="微软雅黑"/>
        </w:rPr>
        <w:t>二、为什么偏了</w:t>
      </w:r>
    </w:p>
    <w:p>
      <w:r>
        <w:rPr>
          <w:rFonts w:ascii="微软雅黑" w:hAnsi="微软雅黑" w:eastAsia="微软雅黑"/>
          <w:b/>
          <w:sz w:val="22"/>
        </w:rPr>
        <w:t>核心原因：对手分级错误。</w:t>
      </w:r>
    </w:p>
    <w:p>
      <w:r>
        <w:rPr>
          <w:rFonts w:ascii="微软雅黑" w:hAnsi="微软雅黑" w:eastAsia="微软雅黑"/>
          <w:b w:val="0"/>
          <w:sz w:val="22"/>
        </w:rPr>
        <w:t>武汉三镇在模型中归类为B级（中游球队），但2026赛季武汉已跌入降级区，球迷关注度和购票意愿大幅下降，实际表现已接近C级（弱队）水平。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分级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预测销量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与销速预测差距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B级（当前）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9,200张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高估39%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C级（应为）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6,395张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仅低估3%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改为C级后预测6,395张，与销速预测6,600张基本吻合。问题不在模型的计算公式，而在对武汉的实力判断滞后了。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补充说明：模型中的"间歇期重启效应"（+10%）本身没有问题。C级叠加这个效应后预测6,395，与销速预测高度一致。去掉反而更不准。</w:t>
      </w:r>
    </w:p>
    <w:p>
      <w:pPr>
        <w:pStyle w:val="Heading1"/>
      </w:pPr>
      <w:r>
        <w:rPr>
          <w:rFonts w:ascii="微软雅黑" w:hAnsi="微软雅黑" w:eastAsia="微软雅黑"/>
        </w:rPr>
        <w:t>三、偏差带来的影响</w:t>
      </w:r>
    </w:p>
    <w:p>
      <w:r>
        <w:rPr>
          <w:rFonts w:ascii="微软雅黑" w:hAnsi="微软雅黑" w:eastAsia="微软雅黑"/>
          <w:b w:val="0"/>
          <w:sz w:val="22"/>
        </w:rPr>
        <w:t>定价公告一旦发布就不能修改，所以预测偏差直接导致定价偏高：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按预测9200定价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按预测6600定价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门票均价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¥282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¥251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预计到场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6,600张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6,715张（降价多拉115人）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预计收入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¥186万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¥168万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高价区空座率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68-75%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改善有限（+115人）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理论收入（不可实现）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¥262万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关键影响：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收入虚高29%：模型算的¥262万是按9200人估的，销速预测只到6600人，预计收入约¥186万，缺口¥76万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高价区空座风险：预测9200导致定价信号偏高，预计只到6600人，T2-T5高价区上座率偏低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后续数据污染：高估的销量回填后影响后续比赛预测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如果按C级正确定价：收入少¥17万（-9.4%），但价格匹配真实需求。</w:t>
      </w:r>
    </w:p>
    <w:p>
      <w:pPr>
        <w:pStyle w:val="Heading1"/>
      </w:pPr>
      <w:r>
        <w:rPr>
          <w:rFonts w:ascii="微软雅黑" w:hAnsi="微软雅黑" w:eastAsia="微软雅黑"/>
        </w:rPr>
        <w:t>四、更大的问题：不只武汉一个</w:t>
      </w:r>
    </w:p>
    <w:p>
      <w:r>
        <w:rPr>
          <w:rFonts w:ascii="微软雅黑" w:hAnsi="微软雅黑" w:eastAsia="微软雅黑"/>
          <w:b w:val="0"/>
          <w:sz w:val="22"/>
        </w:rPr>
        <w:t>对比2026年已赛场数据，7个对手中有3个分级与实际不符：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当前分级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2026实际上座率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应有分级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上海海港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武汉三镇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25.1%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青岛海牛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35.8%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分级错误 → 预测错误 → 定价错误。这是系统性问题，不是个例。</w:t>
      </w:r>
    </w:p>
    <w:p>
      <w:pPr>
        <w:pStyle w:val="Heading1"/>
      </w:pPr>
      <w:r>
        <w:rPr>
          <w:rFonts w:ascii="微软雅黑" w:hAnsi="微软雅黑" w:eastAsia="微软雅黑"/>
        </w:rPr>
        <w:t>五、更深层的原因：赛前没有分级审查</w:t>
      </w:r>
    </w:p>
    <w:p>
      <w:r>
        <w:rPr>
          <w:rFonts w:ascii="微软雅黑" w:hAnsi="微软雅黑" w:eastAsia="微软雅黑"/>
          <w:b w:val="0"/>
          <w:sz w:val="22"/>
        </w:rPr>
        <w:t>定价公告（6月8日）发布时，2026赛季已有5场已赛数据，明确显示需求下滑：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2025上座率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2026上座率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天津津门虎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99.2%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68.4%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-31个百分点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上海海港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54.5%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40.5%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-14个百分点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这些信号已经存在，但模型没有利用。分级仍然沿用历史数据，没有反映当年变化。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时间线：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6/8 定价公告发布，预测9200，价格锁定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6/20 开售，4天仅卖3,959张 → 已无法改价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6/27 比赛日，预计空座2,600+ → 损失已成定局</w:t>
      </w:r>
    </w:p>
    <w:p>
      <w:pPr>
        <w:pStyle w:val="Heading1"/>
      </w:pPr>
      <w:r>
        <w:rPr>
          <w:rFonts w:ascii="微软雅黑" w:hAnsi="微软雅黑" w:eastAsia="微软雅黑"/>
        </w:rPr>
        <w:t>六、建议</w:t>
      </w:r>
    </w:p>
    <w:p>
      <w:pPr>
        <w:pStyle w:val="Heading2"/>
      </w:pPr>
      <w:r>
        <w:rPr>
          <w:rFonts w:ascii="微软雅黑" w:hAnsi="微软雅黑" w:eastAsia="微软雅黑"/>
        </w:rPr>
        <w:t>立即执行</w:t>
      </w:r>
    </w:p>
    <w:p>
      <w:r>
        <w:rPr>
          <w:rFonts w:ascii="微软雅黑" w:hAnsi="微软雅黑" w:eastAsia="微软雅黑"/>
          <w:b/>
          <w:sz w:val="22"/>
        </w:rPr>
        <w:t>武汉场票价已锁定，无法调整，当前损失已成定局。重点是修正预测记录、为后续场次积累经验。</w:t>
      </w:r>
    </w:p>
    <w:p>
      <w:r>
        <w:rPr>
          <w:rFonts w:ascii="微软雅黑" w:hAnsi="微软雅黑" w:eastAsia="微软雅黑"/>
          <w:b w:val="0"/>
          <w:sz w:val="22"/>
        </w:rPr>
        <w:t>能做的：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将武汉三镇分级从B改为C，预测修正为6,600张，回填数据时用修正值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武汉场赛后用实际数据验证C级预测准确性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不改动本场票价，接受空座损失</w:t>
      </w:r>
    </w:p>
    <w:p>
      <w:pPr>
        <w:pStyle w:val="Heading2"/>
      </w:pPr>
      <w:r>
        <w:rPr>
          <w:rFonts w:ascii="微软雅黑" w:hAnsi="微软雅黑" w:eastAsia="微软雅黑"/>
        </w:rPr>
        <w:t>下一场（泰山）定价前审查</w:t>
      </w:r>
    </w:p>
    <w:p>
      <w:r>
        <w:rPr>
          <w:rFonts w:ascii="微软雅黑" w:hAnsi="微软雅黑" w:eastAsia="微软雅黑"/>
          <w:b w:val="0"/>
          <w:sz w:val="22"/>
        </w:rPr>
        <w:t>泰山场定价公告发布前，做一次分级审查：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查泰山当前联赛排名，确认分级是否匹配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查2026已赛数据，与去年同期对比，下降超过15个百分点触发重审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有分歧时倾向降级——低价风险远小于高价空座风险</w:t>
      </w:r>
    </w:p>
    <w:p>
      <w:pPr>
        <w:pStyle w:val="Heading2"/>
      </w:pPr>
      <w:r>
        <w:rPr>
          <w:rFonts w:ascii="微软雅黑" w:hAnsi="微软雅黑" w:eastAsia="微软雅黑"/>
        </w:rPr>
        <w:t>模型回测检验</w:t>
      </w:r>
    </w:p>
    <w:p>
      <w:r>
        <w:rPr>
          <w:rFonts w:ascii="微软雅黑" w:hAnsi="微软雅黑" w:eastAsia="微软雅黑"/>
          <w:b w:val="0"/>
          <w:sz w:val="22"/>
        </w:rPr>
        <w:t>用2026已赛场数据系统性回测模型：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验证7个对手分级是否准确（当前3个错配）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验证各乘数（间歇期重启、周六等）在2026是否仍然有效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每场定价公告前，用CSV销速曲线做独立交叉验证，差距&gt;20%触发人工审查</w:t>
      </w:r>
    </w:p>
    <w:p>
      <w:pPr>
        <w:pStyle w:val="Heading2"/>
      </w:pPr>
      <w:r>
        <w:rPr>
          <w:rFonts w:ascii="微软雅黑" w:hAnsi="微软雅黑" w:eastAsia="微软雅黑"/>
        </w:rPr>
        <w:t>后续改进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动态球队评级体系需要大量数据支撑，当前不具备条件，暂缓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每赛季初用近12个月数据重新标定基准值，不跨年沿用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开售后如有销售数据，逐步用实际曲线修正预测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——————————————————————————————</w:t>
      </w:r>
    </w:p>
    <w:p>
      <w:r>
        <w:rPr>
          <w:rFonts w:ascii="微软雅黑" w:hAnsi="微软雅黑" w:eastAsia="微软雅黑"/>
          <w:b/>
          <w:sz w:val="22"/>
        </w:rPr>
        <w:t>总结：武汉场预测高估39%，根因是对手分级滞后（降级区仍按B级处理）。票价已锁定无法更改，重点放在：修正预测记录用于模型回测、下一场泰山定价前做分级审查、系统性回测验证模型有效性。动态评级体系暂缓，数据量不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