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25" w:name="X5fd6eca85d7d6d94fc34fa60c93f9c40f09b991"/>
    <w:p>
      <w:pPr>
        <w:pStyle w:val="Heading1"/>
      </w:pPr>
      <w:r>
        <w:t xml:space="preserve">1. Configuration de rejet haussière/baissière à deux bougies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de retournement “deux bougies de rejet” consiste en deux chandeliers consécutifs où la seconde bougie rejette l’extrême précédent par sa longue mèche tout en clôturant côté opposé. En pratique 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Rejet haussier :</w:t>
      </w:r>
      <w:r>
        <w:t xml:space="preserve"> </w:t>
      </w:r>
      <w:r>
        <w:t xml:space="preserve">la 2ᵉ bougie est haussière (close &gt; open) et passe sous le plus bas (low) de la bougie précédente (faux-break du creux), puis remonte pour clôturer dans sa partie haute. Idéalement, cette bougie forme un</w:t>
      </w:r>
      <w:r>
        <w:t xml:space="preserve"> </w:t>
      </w:r>
      <w:r>
        <w:rPr>
          <w:i/>
          <w:iCs/>
        </w:rPr>
        <w:t xml:space="preserve">bullish engulfing</w:t>
      </w:r>
      <w:r>
        <w:t xml:space="preserve"> </w:t>
      </w:r>
      <w:r>
        <w:t xml:space="preserve">partiel, ouvrant sous le plus bas précédent et finissant au-dessus de son plus haut</w:t>
      </w:r>
      <w:hyperlink r:id="rId21">
        <w:r>
          <w:rPr>
            <w:rStyle w:val="Hyperlink"/>
          </w:rPr>
          <w:t xml:space="preserve">[1]</w:t>
        </w:r>
      </w:hyperlink>
      <w:r>
        <w:t xml:space="preserve">. Sa mèche inférieure doit être très longue (par exemple ≥2–3× le corps</w:t>
      </w:r>
      <w:hyperlink r:id="rId22">
        <w:r>
          <w:rPr>
            <w:rStyle w:val="Hyperlink"/>
          </w:rPr>
          <w:t xml:space="preserve">[2]</w:t>
        </w:r>
      </w:hyperlink>
      <w:r>
        <w:t xml:space="preserve">), signe que les acheteurs repoussent agressivement.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Rejet baissier :</w:t>
      </w:r>
      <w:r>
        <w:t xml:space="preserve"> </w:t>
      </w:r>
      <w:r>
        <w:t xml:space="preserve">symétriquement, la 2ᵉ bougie est baissière (close &lt; open) et dépasse le plus haut (high) précédent (faux-break du sommet) avant de s’effondrer et de finir dans sa partie basse. Elle englobe partiellement la précédente en ouvrant au-dessus de son plus haut et clôturant en dessous de son plus bas</w:t>
      </w:r>
      <w:hyperlink r:id="rId23">
        <w:r>
          <w:rPr>
            <w:rStyle w:val="Hyperlink"/>
          </w:rPr>
          <w:t xml:space="preserve">[3]</w:t>
        </w:r>
      </w:hyperlink>
      <w:r>
        <w:t xml:space="preserve">. Sa longue mèche supérieure traduit un net rejet (semblable à une étoile filante)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FirstParagraph"/>
      </w:pPr>
      <w:r>
        <w:t xml:space="preserve">Ces règles peuvent se traduire par des conditions mathématiques sur les prix OHLC. Par exemple, pour un horizon donné :</w:t>
      </w:r>
    </w:p>
    <w:p>
      <w:pPr>
        <w:pStyle w:val="SourceCode"/>
      </w:pPr>
      <w:r>
        <w:rPr>
          <w:rStyle w:val="VerbatimChar"/>
        </w:rPr>
        <w:t xml:space="preserve"># Exemple de conditions (df : DataFrame Pandas avec colonnes Open, High, Low, Close)</w:t>
      </w:r>
      <w:r>
        <w:br/>
      </w:r>
      <w:r>
        <w:rPr>
          <w:rStyle w:val="VerbatimChar"/>
        </w:rPr>
        <w:t xml:space="preserve">wick_ratio = 2  # facteur pour la longueur de mèche relative au corps</w:t>
      </w:r>
      <w:r>
        <w:br/>
      </w:r>
      <w:r>
        <w:rPr>
          <w:rStyle w:val="VerbatimChar"/>
        </w:rPr>
        <w:t xml:space="preserve"># Bougie actuelle = ligne i, bougie précédente = i-1</w:t>
      </w:r>
      <w:r>
        <w:br/>
      </w:r>
      <w:r>
        <w:rPr>
          <w:rStyle w:val="VerbatimChar"/>
        </w:rPr>
        <w:t xml:space="preserve">bull_rej = (</w:t>
      </w:r>
      <w:r>
        <w:br/>
      </w:r>
      <w:r>
        <w:rPr>
          <w:rStyle w:val="VerbatimChar"/>
        </w:rPr>
        <w:t xml:space="preserve">    (df['Low'] &lt; df['Low'].shift(1)) &amp;            # passe sous le creux précédent</w:t>
      </w:r>
      <w:r>
        <w:br/>
      </w:r>
      <w:r>
        <w:rPr>
          <w:rStyle w:val="VerbatimChar"/>
        </w:rPr>
        <w:t xml:space="preserve">    (df['Close'] &gt; df['Open']) &amp;                  # bougie haussière</w:t>
      </w:r>
      <w:r>
        <w:br/>
      </w:r>
      <w:r>
        <w:rPr>
          <w:rStyle w:val="VerbatimChar"/>
        </w:rPr>
        <w:t xml:space="preserve">    ((df['Open'] - df['Low']) &gt;= wick_ratio*(df['Close'] - df['Open']))  # mèche inf &gt;= 2×corps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bear_rej = (</w:t>
      </w:r>
      <w:r>
        <w:br/>
      </w:r>
      <w:r>
        <w:rPr>
          <w:rStyle w:val="VerbatimChar"/>
        </w:rPr>
        <w:t xml:space="preserve">    (df['High'] &gt; df['High'].shift(1)) &amp;          # dépasse le sommet précédent</w:t>
      </w:r>
      <w:r>
        <w:br/>
      </w:r>
      <w:r>
        <w:rPr>
          <w:rStyle w:val="VerbatimChar"/>
        </w:rPr>
        <w:t xml:space="preserve">    (df['Close'] &lt; df['Open']) &amp;                  # bougie baissière</w:t>
      </w:r>
      <w:r>
        <w:br/>
      </w:r>
      <w:r>
        <w:rPr>
          <w:rStyle w:val="VerbatimChar"/>
        </w:rPr>
        <w:t xml:space="preserve">    ((df['High'] - df['Open']) &gt;= wick_ratio*(df['Open'] - df['Close']))  # mèche sup &gt;= 2×corps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df['bull_rejection'] = bull_rej</w:t>
      </w:r>
      <w:r>
        <w:br/>
      </w:r>
      <w:r>
        <w:rPr>
          <w:rStyle w:val="VerbatimChar"/>
        </w:rPr>
        <w:t xml:space="preserve">df['bear_rejection'] = bear_rej</w:t>
      </w:r>
    </w:p>
    <w:p>
      <w:pPr>
        <w:pStyle w:val="FirstParagraph"/>
      </w:pPr>
      <w:r>
        <w:t xml:space="preserve">Ici,</w:t>
      </w:r>
      <w:r>
        <w:t xml:space="preserve"> </w:t>
      </w:r>
      <w:r>
        <w:rPr>
          <w:rStyle w:val="VerbatimChar"/>
        </w:rPr>
        <w:t xml:space="preserve">wick_ratio</w:t>
      </w:r>
      <w:r>
        <w:t xml:space="preserve"> </w:t>
      </w:r>
      <w:r>
        <w:t xml:space="preserve">est un paramètre (souvent 2–3) qui garantit une longue mèche. Ces formules détectent les configurations décrites ci-dessus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5"/>
    <w:bookmarkStart w:id="26" w:name="implémentation-en-python-pandas"/>
    <w:p>
      <w:pPr>
        <w:pStyle w:val="Heading1"/>
      </w:pPr>
      <w:r>
        <w:t xml:space="preserve">2. Implémentation en Python (pandas)</w:t>
      </w:r>
    </w:p>
    <w:p>
      <w:pPr>
        <w:pStyle w:val="FirstParagraph"/>
      </w:pPr>
      <w:r>
        <w:t xml:space="preserve">La logique se traduit naturellement par des opérations sur la DataFrame OHLC. Par exemple, pour indiquer le signal de rejet haussier ou baissier à l’index courant, on compare à l’index précédent :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def detect_two_candle_rejection(df, wick_ratio=2):</w:t>
      </w:r>
      <w:r>
        <w:br/>
      </w:r>
      <w:r>
        <w:rPr>
          <w:rStyle w:val="VerbatimChar"/>
        </w:rPr>
        <w:t xml:space="preserve">    df = df.copy()</w:t>
      </w:r>
      <w:r>
        <w:br/>
      </w:r>
      <w:r>
        <w:rPr>
          <w:rStyle w:val="VerbatimChar"/>
        </w:rPr>
        <w:t xml:space="preserve">    # Conditions haussières</w:t>
      </w:r>
      <w:r>
        <w:br/>
      </w:r>
      <w:r>
        <w:rPr>
          <w:rStyle w:val="VerbatimChar"/>
        </w:rPr>
        <w:t xml:space="preserve">    cond_bull = (</w:t>
      </w:r>
      <w:r>
        <w:br/>
      </w:r>
      <w:r>
        <w:rPr>
          <w:rStyle w:val="VerbatimChar"/>
        </w:rPr>
        <w:t xml:space="preserve">        (df['Low'] &lt; df['Low'].shift(1)) &amp;</w:t>
      </w:r>
      <w:r>
        <w:br/>
      </w:r>
      <w:r>
        <w:rPr>
          <w:rStyle w:val="VerbatimChar"/>
        </w:rPr>
        <w:t xml:space="preserve">        (df['Close'] &gt; df['Open']) &amp;</w:t>
      </w:r>
      <w:r>
        <w:br/>
      </w:r>
      <w:r>
        <w:rPr>
          <w:rStyle w:val="VerbatimChar"/>
        </w:rPr>
        <w:t xml:space="preserve">        ((df['Open'] - df['Low']) &gt;= wick_ratio * (df['Close'] - df['Open']))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# Conditions baissières</w:t>
      </w:r>
      <w:r>
        <w:br/>
      </w:r>
      <w:r>
        <w:rPr>
          <w:rStyle w:val="VerbatimChar"/>
        </w:rPr>
        <w:t xml:space="preserve">    cond_bear = (</w:t>
      </w:r>
      <w:r>
        <w:br/>
      </w:r>
      <w:r>
        <w:rPr>
          <w:rStyle w:val="VerbatimChar"/>
        </w:rPr>
        <w:t xml:space="preserve">        (df['High'] &gt; df['High'].shift(1)) &amp;</w:t>
      </w:r>
      <w:r>
        <w:br/>
      </w:r>
      <w:r>
        <w:rPr>
          <w:rStyle w:val="VerbatimChar"/>
        </w:rPr>
        <w:t xml:space="preserve">        (df['Close'] &lt; df['Open']) &amp;</w:t>
      </w:r>
      <w:r>
        <w:br/>
      </w:r>
      <w:r>
        <w:rPr>
          <w:rStyle w:val="VerbatimChar"/>
        </w:rPr>
        <w:t xml:space="preserve">        ((df['High'] - df['Open']) &gt;= wick_ratio * (df['Open'] - df['Close']))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df['bull_rejection'] = cond_bull</w:t>
      </w:r>
      <w:r>
        <w:br/>
      </w:r>
      <w:r>
        <w:rPr>
          <w:rStyle w:val="VerbatimChar"/>
        </w:rPr>
        <w:t xml:space="preserve">    df['bear_rejection'] = cond_bear</w:t>
      </w:r>
      <w:r>
        <w:br/>
      </w:r>
      <w:r>
        <w:rPr>
          <w:rStyle w:val="VerbatimChar"/>
        </w:rPr>
        <w:t xml:space="preserve">    return df</w:t>
      </w:r>
      <w:r>
        <w:br/>
      </w:r>
      <w:r>
        <w:br/>
      </w:r>
      <w:r>
        <w:rPr>
          <w:rStyle w:val="VerbatimChar"/>
        </w:rPr>
        <w:t xml:space="preserve"># Exemple d’utilisation sur des données fictives :</w:t>
      </w:r>
      <w:r>
        <w:br/>
      </w:r>
      <w:r>
        <w:rPr>
          <w:rStyle w:val="VerbatimChar"/>
        </w:rPr>
        <w:t xml:space="preserve">data = [</w:t>
      </w:r>
      <w:r>
        <w:br/>
      </w:r>
      <w:r>
        <w:rPr>
          <w:rStyle w:val="VerbatimChar"/>
        </w:rPr>
        <w:t xml:space="preserve">    {'Open':100,'High':102,'Low':95, 'Close':97},   # bougie précédente</w:t>
      </w:r>
      <w:r>
        <w:br/>
      </w:r>
      <w:r>
        <w:rPr>
          <w:rStyle w:val="VerbatimChar"/>
        </w:rPr>
        <w:t xml:space="preserve">    {'Open':94, 'High':105,'Low':90, 'Close':104},  # bougie actuelle (signal haussier)</w:t>
      </w:r>
      <w:r>
        <w:br/>
      </w:r>
      <w:r>
        <w:rPr>
          <w:rStyle w:val="VerbatimChar"/>
        </w:rPr>
        <w:t xml:space="preserve">    {'Open':108,'High':110,'Low':105,'Close':109},  # autre bougie</w:t>
      </w:r>
      <w:r>
        <w:br/>
      </w:r>
      <w:r>
        <w:rPr>
          <w:rStyle w:val="VerbatimChar"/>
        </w:rPr>
        <w:t xml:space="preserve">    {'Open':112,'High':115,'Low':111,'Close':113}   # etc.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df = pd.DataFrame(data)</w:t>
      </w:r>
      <w:r>
        <w:br/>
      </w:r>
      <w:r>
        <w:rPr>
          <w:rStyle w:val="VerbatimChar"/>
        </w:rPr>
        <w:t xml:space="preserve">df = detect_two_candle_rejection(df, wick_ratio=2)</w:t>
      </w:r>
      <w:r>
        <w:br/>
      </w:r>
      <w:r>
        <w:rPr>
          <w:rStyle w:val="VerbatimChar"/>
        </w:rPr>
        <w:t xml:space="preserve">print(df[['Open','High','Low','Close','bull_rejection','bear_rejection']])</w:t>
      </w:r>
    </w:p>
    <w:p>
      <w:pPr>
        <w:pStyle w:val="FirstParagraph"/>
      </w:pPr>
      <w:r>
        <w:t xml:space="preserve">Ce script tague chaque ligne où le pattern survient. En pratique on fera tourner la détection sur chaque unité de temps (mensuelle, hebdo, jour, 4h, etc.) pour repérer les rejets.</w:t>
      </w:r>
    </w:p>
    <w:bookmarkEnd w:id="26"/>
    <w:bookmarkStart w:id="30" w:name="score-directionnel-multi-unité-de-temps"/>
    <w:p>
      <w:pPr>
        <w:pStyle w:val="Heading1"/>
      </w:pPr>
      <w:r>
        <w:t xml:space="preserve">3. Score directionnel multi-unité de temps</w:t>
      </w:r>
    </w:p>
    <w:p>
      <w:pPr>
        <w:pStyle w:val="FirstParagraph"/>
      </w:pPr>
      <w:r>
        <w:t xml:space="preserve">L’idée est d’agréger plusieurs signaux de retournement pour renforcer une probabilité directionnelle. Pour chaque unité de temps considérée, on attribue des « points » haussiers ou baissiers selon les éléments suivants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Rejet 2 bougies :</w:t>
      </w:r>
      <w:r>
        <w:t xml:space="preserve"> </w:t>
      </w:r>
      <w:r>
        <w:t xml:space="preserve">+1 point bull (resp. bear) si</w:t>
      </w:r>
      <w:r>
        <w:t xml:space="preserve"> </w:t>
      </w:r>
      <w:r>
        <w:rPr>
          <w:rStyle w:val="VerbatimChar"/>
        </w:rPr>
        <w:t xml:space="preserve">bull_rejection</w:t>
      </w:r>
      <w:r>
        <w:t xml:space="preserve"> </w:t>
      </w:r>
      <w:r>
        <w:t xml:space="preserve">(resp.</w:t>
      </w:r>
      <w:r>
        <w:t xml:space="preserve"> </w:t>
      </w:r>
      <w:r>
        <w:rPr>
          <w:rStyle w:val="VerbatimChar"/>
        </w:rPr>
        <w:t xml:space="preserve">bear_rejection</w:t>
      </w:r>
      <w:r>
        <w:t xml:space="preserve">) est vrai sur la période la plus récente.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Cassure de structure (Break of Structure, BoS) :</w:t>
      </w:r>
      <w:r>
        <w:t xml:space="preserve"> </w:t>
      </w:r>
      <w:r>
        <w:t xml:space="preserve">On identifie les niveaux de swing (pivots). Si le prix clôture au-dessus du dernier swing high connu, c’est un BoS haussier (+1 point </w:t>
      </w:r>
      <w:r>
        <w:rPr>
          <w:rFonts w:hint="eastAsia"/>
        </w:rPr>
        <w:t xml:space="preserve">bull)；</w:t>
      </w:r>
      <w:r>
        <w:t xml:space="preserve"> s’il clôture en dessous du dernier swing low, c’est un BoS baissier (+1 point bear). (Schématiquement, BoS= franchissement d’un précédent sommet/creux.)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Fair Value Gap (FVG) :</w:t>
      </w:r>
      <w:r>
        <w:t xml:space="preserve"> </w:t>
      </w:r>
      <w:r>
        <w:t xml:space="preserve">on détecte les zones d’écart sur 3 bougies (FVG)</w:t>
      </w:r>
      <w:hyperlink r:id="rId27">
        <w:r>
          <w:rPr>
            <w:rStyle w:val="Hyperlink"/>
          </w:rPr>
          <w:t xml:space="preserve">[5]</w:t>
        </w:r>
      </w:hyperlink>
      <w:r>
        <w:t xml:space="preserve">. Par exemple, sur trois bougies consécutives [i (gauche), j (grosse), k (droite)] :</w:t>
      </w:r>
    </w:p>
    <w:p>
      <w:pPr>
        <w:pStyle w:val="Compact"/>
        <w:numPr>
          <w:ilvl w:val="0"/>
          <w:numId w:val="1002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High[i] &lt; Low[k]</w:t>
      </w:r>
      <w:r>
        <w:t xml:space="preserve">, on trace une FVG haussière entre</w:t>
      </w:r>
      <w:r>
        <w:t xml:space="preserve"> </w:t>
      </w:r>
      <w:r>
        <w:rPr>
          <w:rStyle w:val="VerbatimChar"/>
        </w:rPr>
        <w:t xml:space="preserve">High[i]</w:t>
      </w:r>
      <w:r>
        <w:t xml:space="preserve"> </w:t>
      </w:r>
      <w:r>
        <w:t xml:space="preserve">(bas du gap) et</w:t>
      </w:r>
      <w:r>
        <w:t xml:space="preserve"> </w:t>
      </w:r>
      <w:r>
        <w:rPr>
          <w:rStyle w:val="VerbatimChar"/>
        </w:rPr>
        <w:t xml:space="preserve">Low[k]</w:t>
      </w:r>
      <w:r>
        <w:t xml:space="preserve"> </w:t>
      </w:r>
      <w:r>
        <w:t xml:space="preserve">(haut du gap)</w:t>
      </w:r>
      <w:hyperlink r:id="rId27">
        <w:r>
          <w:rPr>
            <w:rStyle w:val="Hyperlink"/>
          </w:rPr>
          <w:t xml:space="preserve">[5]</w:t>
        </w:r>
      </w:hyperlink>
      <w:r>
        <w:t xml:space="preserve">. Tant que cette zone n’est pas comblée, elle constitue un support potentiel. Si le prix actuel s’y trouve ou s’en rapproche, cela renforce une probabilité haussière.</w:t>
      </w:r>
    </w:p>
    <w:p>
      <w:pPr>
        <w:pStyle w:val="Compact"/>
        <w:numPr>
          <w:ilvl w:val="0"/>
          <w:numId w:val="1002"/>
        </w:numPr>
      </w:pPr>
      <w:r>
        <w:t xml:space="preserve">Symétriquement, si</w:t>
      </w:r>
      <w:r>
        <w:t xml:space="preserve"> </w:t>
      </w:r>
      <w:r>
        <w:rPr>
          <w:rStyle w:val="VerbatimChar"/>
        </w:rPr>
        <w:t xml:space="preserve">Low[i] &gt; High[k]</w:t>
      </w:r>
      <w:r>
        <w:t xml:space="preserve">, on marque une FVG baissière entre</w:t>
      </w:r>
      <w:r>
        <w:t xml:space="preserve"> </w:t>
      </w:r>
      <w:r>
        <w:rPr>
          <w:rStyle w:val="VerbatimChar"/>
        </w:rPr>
        <w:t xml:space="preserve">Low[i]</w:t>
      </w:r>
      <w:r>
        <w:t xml:space="preserve"> </w:t>
      </w:r>
      <w:r>
        <w:t xml:space="preserve">(haut du gap) et</w:t>
      </w:r>
      <w:r>
        <w:t xml:space="preserve"> </w:t>
      </w:r>
      <w:r>
        <w:rPr>
          <w:rStyle w:val="VerbatimChar"/>
        </w:rPr>
        <w:t xml:space="preserve">High[k]</w:t>
      </w:r>
      <w:r>
        <w:t xml:space="preserve"> </w:t>
      </w:r>
      <w:r>
        <w:t xml:space="preserve">(bas)</w:t>
      </w:r>
      <w:hyperlink r:id="rId28">
        <w:r>
          <w:rPr>
            <w:rStyle w:val="Hyperlink"/>
          </w:rPr>
          <w:t xml:space="preserve">[6]</w:t>
        </w:r>
      </w:hyperlink>
      <w:r>
        <w:t xml:space="preserve">. Son comblement renforce un biais baissier.</w:t>
      </w:r>
    </w:p>
    <w:p>
      <w:pPr>
        <w:pStyle w:val="FirstParagraph"/>
      </w:pPr>
      <w:r>
        <w:br/>
      </w:r>
      <w:r>
        <w:rPr>
          <w:i/>
          <w:iCs/>
        </w:rPr>
        <w:t xml:space="preserve">Illustration : zones de Fair Value Gap haussière (à gauche) et baissière (à droite)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[5]</w:t>
        </w:r>
      </w:hyperlink>
      <w:r>
        <w:rPr>
          <w:i/>
          <w:iCs/>
        </w:rP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Niveau de swing :</w:t>
      </w:r>
      <w:r>
        <w:t xml:space="preserve"> </w:t>
      </w:r>
      <w:r>
        <w:t xml:space="preserve">on prend en compte la proximité ou rupture d’un pivot. Par exemple, si le cours actuel est proche d’un dernier support (swing low), c’est un argument haussier (pression acheteuse </w:t>
      </w:r>
      <w:r>
        <w:rPr>
          <w:rFonts w:hint="eastAsia"/>
        </w:rPr>
        <w:t xml:space="preserve">attendue)；</w:t>
      </w:r>
      <w:r>
        <w:t xml:space="preserve"> près d’une résistance (swing high), c’est un argument baissier. Une rupture de ces niveaux redonde avec BoS.</w:t>
      </w:r>
    </w:p>
    <w:p>
      <w:pPr>
        <w:pStyle w:val="BodyText"/>
      </w:pPr>
      <w:r>
        <w:t xml:space="preserve">On somme alors ces points : chaque signaux haussier incrémente un compteur</w:t>
      </w:r>
      <w:r>
        <w:t xml:space="preserve"> </w:t>
      </w:r>
      <w:r>
        <w:rPr>
          <w:i/>
          <w:iCs/>
        </w:rPr>
        <w:t xml:space="preserve">bull_points</w:t>
      </w:r>
      <w:r>
        <w:t xml:space="preserve">, chaque baissier un compteur</w:t>
      </w:r>
      <w:r>
        <w:t xml:space="preserve"> </w:t>
      </w:r>
      <w:r>
        <w:rPr>
          <w:i/>
          <w:iCs/>
        </w:rPr>
        <w:t xml:space="preserve">bear_points</w:t>
      </w:r>
      <w:r>
        <w:t xml:space="preserve">. Le score global synthétique peut être exprimé par exemple en probabilité :</w:t>
      </w:r>
    </w:p>
    <w:p>
      <w:pPr>
        <w:pStyle w:val="SourceCode"/>
      </w:pPr>
      <w:r>
        <w:rPr>
          <w:rStyle w:val="VerbatimChar"/>
        </w:rPr>
        <w:t xml:space="preserve">bull_points = ...  # total des points haussiers multi-TF</w:t>
      </w:r>
      <w:r>
        <w:br/>
      </w:r>
      <w:r>
        <w:rPr>
          <w:rStyle w:val="VerbatimChar"/>
        </w:rPr>
        <w:t xml:space="preserve">bear_points = ...  # total des points baissiers multi-TF</w:t>
      </w:r>
      <w:r>
        <w:br/>
      </w:r>
      <w:r>
        <w:rPr>
          <w:rStyle w:val="VerbatimChar"/>
        </w:rPr>
        <w:t xml:space="preserve">if bull_points + bear_points &gt; 0:</w:t>
      </w:r>
      <w:r>
        <w:br/>
      </w:r>
      <w:r>
        <w:rPr>
          <w:rStyle w:val="VerbatimChar"/>
        </w:rPr>
        <w:t xml:space="preserve">    prob_bull = bull_points / (bull_points + bear_points)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prob_bull = 0.5  # indécision si pas de signaux</w:t>
      </w:r>
    </w:p>
    <w:p>
      <w:pPr>
        <w:pStyle w:val="FirstParagraph"/>
      </w:pPr>
      <w:r>
        <w:t xml:space="preserve">Un score élevé (</w:t>
      </w:r>
      <w:r>
        <w:rPr>
          <w:i/>
          <w:iCs/>
        </w:rPr>
        <w:t xml:space="preserve">prob_bull</w:t>
      </w:r>
      <w:r>
        <w:t xml:space="preserve"> </w:t>
      </w:r>
      <w:r>
        <w:t xml:space="preserve">proche de 1) indique une forte probabilité haussière, proche de 0 un signal baissier. Cette grille multi-TF renforce la fiabilité du signal en cumulant rebond(s) de wick, cassures de structure, zones FVG et niveaux de swing</w:t>
      </w:r>
      <w:hyperlink r:id="rId29">
        <w:r>
          <w:rPr>
            <w:rStyle w:val="Hyperlink"/>
          </w:rPr>
          <w:t xml:space="preserve">[7]</w:t>
        </w:r>
      </w:hyperlink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30"/>
    <w:bookmarkStart w:id="31" w:name="exemple-dutilisation"/>
    <w:p>
      <w:pPr>
        <w:pStyle w:val="Heading1"/>
      </w:pPr>
      <w:r>
        <w:t xml:space="preserve">4. Exemple d’utilisation</w:t>
      </w:r>
    </w:p>
    <w:p>
      <w:pPr>
        <w:pStyle w:val="SourceCode"/>
      </w:pPr>
      <w:r>
        <w:rPr>
          <w:rStyle w:val="VerbatimChar"/>
        </w:rPr>
        <w:t xml:space="preserve"># Exemple multi-TF (simulé) :</w:t>
      </w:r>
      <w:r>
        <w:br/>
      </w:r>
      <w:r>
        <w:rPr>
          <w:rStyle w:val="VerbatimChar"/>
        </w:rPr>
        <w:t xml:space="preserve">dfs = {</w:t>
      </w:r>
      <w:r>
        <w:br/>
      </w:r>
      <w:r>
        <w:rPr>
          <w:rStyle w:val="VerbatimChar"/>
        </w:rPr>
        <w:t xml:space="preserve">    'D': pd.DataFrame(...),    # DataFrame journalière OHLC</w:t>
      </w:r>
      <w:r>
        <w:br/>
      </w:r>
      <w:r>
        <w:rPr>
          <w:rStyle w:val="VerbatimChar"/>
        </w:rPr>
        <w:t xml:space="preserve">    'H4': pd.DataFrame(...),   # DataFrame 4h OHLC</w:t>
      </w:r>
      <w:r>
        <w:br/>
      </w:r>
      <w:r>
        <w:rPr>
          <w:rStyle w:val="VerbatimChar"/>
        </w:rPr>
        <w:t xml:space="preserve">    'W': pd.DataFrame(...),    # Hebdo</w:t>
      </w:r>
      <w:r>
        <w:br/>
      </w:r>
      <w:r>
        <w:rPr>
          <w:rStyle w:val="VerbatimChar"/>
        </w:rPr>
        <w:t xml:space="preserve">    'M': pd.DataFrame(...),    # Mensuel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scores = {'D':{'bull':0,'bear':0}, 'H4':{'bull':0,'bear':0}, ...}</w:t>
      </w:r>
      <w:r>
        <w:br/>
      </w:r>
      <w:r>
        <w:br/>
      </w:r>
      <w:r>
        <w:rPr>
          <w:rStyle w:val="VerbatimChar"/>
        </w:rPr>
        <w:t xml:space="preserve">for tf, df_tf in dfs.items():</w:t>
      </w:r>
      <w:r>
        <w:br/>
      </w:r>
      <w:r>
        <w:rPr>
          <w:rStyle w:val="VerbatimChar"/>
        </w:rPr>
        <w:t xml:space="preserve">    df_tf = detect_two_candle_rejection(df_tf)</w:t>
      </w:r>
      <w:r>
        <w:br/>
      </w:r>
      <w:r>
        <w:rPr>
          <w:rStyle w:val="VerbatimChar"/>
        </w:rPr>
        <w:t xml:space="preserve">    # Signaux de rejet</w:t>
      </w:r>
      <w:r>
        <w:br/>
      </w:r>
      <w:r>
        <w:rPr>
          <w:rStyle w:val="VerbatimChar"/>
        </w:rPr>
        <w:t xml:space="preserve">    if df_tf['bull_rejection'].iloc[-1]:</w:t>
      </w:r>
      <w:r>
        <w:br/>
      </w:r>
      <w:r>
        <w:rPr>
          <w:rStyle w:val="VerbatimChar"/>
        </w:rPr>
        <w:t xml:space="preserve">        scores[tf]['bull'] += 1</w:t>
      </w:r>
      <w:r>
        <w:br/>
      </w:r>
      <w:r>
        <w:rPr>
          <w:rStyle w:val="VerbatimChar"/>
        </w:rPr>
        <w:t xml:space="preserve">    if df_tf['bear_rejection'].iloc[-1]:</w:t>
      </w:r>
      <w:r>
        <w:br/>
      </w:r>
      <w:r>
        <w:rPr>
          <w:rStyle w:val="VerbatimChar"/>
        </w:rPr>
        <w:t xml:space="preserve">        scores[tf]['bear'] += 1</w:t>
      </w:r>
      <w:r>
        <w:br/>
      </w:r>
      <w:r>
        <w:rPr>
          <w:rStyle w:val="VerbatimChar"/>
        </w:rPr>
        <w:t xml:space="preserve">    # (idem pour BoS, FVG, swing...)</w:t>
      </w:r>
      <w:r>
        <w:br/>
      </w:r>
      <w:r>
        <w:rPr>
          <w:rStyle w:val="VerbatimChar"/>
        </w:rPr>
        <w:t xml:space="preserve">    # p.ex. Bos bullish</w:t>
      </w:r>
      <w:r>
        <w:br/>
      </w:r>
      <w:r>
        <w:rPr>
          <w:rStyle w:val="VerbatimChar"/>
        </w:rPr>
        <w:t xml:space="preserve">    last_high = df_tf.loc[df_tf['pivot_high'], 'High'].max()</w:t>
      </w:r>
      <w:r>
        <w:br/>
      </w:r>
      <w:r>
        <w:rPr>
          <w:rStyle w:val="VerbatimChar"/>
        </w:rPr>
        <w:t xml:space="preserve">    if df_tf['Close'].iloc[-1] &gt; last_high:</w:t>
      </w:r>
      <w:r>
        <w:br/>
      </w:r>
      <w:r>
        <w:rPr>
          <w:rStyle w:val="VerbatimChar"/>
        </w:rPr>
        <w:t xml:space="preserve">        scores[tf]['bull'] += 1</w:t>
      </w:r>
      <w:r>
        <w:br/>
      </w:r>
      <w:r>
        <w:rPr>
          <w:rStyle w:val="VerbatimChar"/>
        </w:rPr>
        <w:t xml:space="preserve">    # ... détecter FVG sur df_tf et ajouter un point si applicable ...</w:t>
      </w:r>
      <w:r>
        <w:br/>
      </w:r>
      <w:r>
        <w:rPr>
          <w:rStyle w:val="VerbatimChar"/>
        </w:rPr>
        <w:t xml:space="preserve">    # ... détecter proximité swing, etc.</w:t>
      </w:r>
      <w:r>
        <w:br/>
      </w:r>
      <w:r>
        <w:br/>
      </w:r>
      <w:r>
        <w:rPr>
          <w:rStyle w:val="VerbatimChar"/>
        </w:rPr>
        <w:t xml:space="preserve"># Calcul du score global</w:t>
      </w:r>
      <w:r>
        <w:br/>
      </w:r>
      <w:r>
        <w:rPr>
          <w:rStyle w:val="VerbatimChar"/>
        </w:rPr>
        <w:t xml:space="preserve">bull_total = sum(scores[tf]['bull'] for tf in scores)</w:t>
      </w:r>
      <w:r>
        <w:br/>
      </w:r>
      <w:r>
        <w:rPr>
          <w:rStyle w:val="VerbatimChar"/>
        </w:rPr>
        <w:t xml:space="preserve">bear_total = sum(scores[tf]['bear'] for tf in scores)</w:t>
      </w:r>
      <w:r>
        <w:br/>
      </w:r>
      <w:r>
        <w:rPr>
          <w:rStyle w:val="VerbatimChar"/>
        </w:rPr>
        <w:t xml:space="preserve">prob_bull = bull_total/(bull_total+bear_total) if bull_total+bear_total&gt;0 else 0.5</w:t>
      </w:r>
      <w:r>
        <w:br/>
      </w:r>
      <w:r>
        <w:rPr>
          <w:rStyle w:val="VerbatimChar"/>
        </w:rPr>
        <w:t xml:space="preserve">print(f"Score haussier: {bull_total}, baissier: {bear_total}, P(bull)≈{prob_bull:.2f}")</w:t>
      </w:r>
    </w:p>
    <w:p>
      <w:pPr>
        <w:pStyle w:val="FirstParagraph"/>
      </w:pPr>
      <w:r>
        <w:t xml:space="preserve">Ce code illustre une intégration simplifiée. En pratique, on adaptera les seuils (longueur de mèche, tolérances swing, etc.) aux instruments et horizons visés. L’exemple ci-dessus montre comment structurer la détection – chaque condition (rejet, BoS, FVG, swing) contribuant au score haussier ou baissier final.</w:t>
      </w:r>
    </w:p>
    <w:p>
      <w:pPr>
        <w:pStyle w:val="BodyText"/>
      </w:pPr>
      <w:r>
        <w:rPr>
          <w:b/>
          <w:bCs/>
        </w:rPr>
        <w:t xml:space="preserve">Références :</w:t>
      </w:r>
      <w:r>
        <w:t xml:space="preserve"> </w:t>
      </w:r>
      <w:r>
        <w:t xml:space="preserve">Patterns de chandeliers inversions (engulfing, pin-bar)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; importance d’une longue mèche (guide John Wick)</w:t>
      </w:r>
      <w:hyperlink r:id="rId22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; stratégie “2 Candle Rejection”</w:t>
      </w: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; définition des zones FVG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. Ces principes sont codés ci-dessus en conditions précises prêtes à l’usage.</w:t>
      </w:r>
    </w:p>
    <w:bookmarkEnd w:id="31"/>
    <w:bookmarkEnd w:id="32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Bullish Engulfing Pattern: Definition, How It Works, and Example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https://www.investopedia.com/terms/b/bullishengulfingpattern.asp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"Chandelle John Wick : Guide du trader aux mèches longues"</w:t>
      </w:r>
    </w:p>
    <w:p>
      <w:pPr>
        <w:pStyle w:val="BodyText"/>
      </w:pPr>
      <w:hyperlink r:id="rId34">
        <w:r>
          <w:rPr>
            <w:rStyle w:val="Hyperlink"/>
          </w:rPr>
          <w:t xml:space="preserve">https://phemex.com/fr/academy/long-wick-candle-trading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Bearish Engulfing Pattern: Definition and Example of How To Use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https://www.investopedia.com/terms/b/bearishengulfingp.asp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Understanding Price Action Rejection: A Comprehensive Guide | Market_tracker on Binance Square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https://www.binance.com/en/square/post/9234157349730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Fair Value Gaps (FVG) Explained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https://www.fluxcharts.com/articles/Trading-Concepts/Price-Action/Fair-Value-Gaps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Stock Sniper Trading</w:t>
      </w:r>
    </w:p>
    <w:p>
      <w:pPr>
        <w:pStyle w:val="BodyText"/>
      </w:pPr>
      <w:hyperlink r:id="rId38">
        <w:r>
          <w:rPr>
            <w:rStyle w:val="Hyperlink"/>
          </w:rPr>
          <w:t xml:space="preserve">https://stocksnipertrading.com/blog/2-candle-rejection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phemex.com/fr/academy/long-wick-candle-trading" TargetMode="External" /><Relationship Type="http://schemas.openxmlformats.org/officeDocument/2006/relationships/hyperlink" Id="rId22" Target="https://phemex.com/fr/academy/long-wick-candle-trading#:~:text=forte,Pour" TargetMode="External" /><Relationship Type="http://schemas.openxmlformats.org/officeDocument/2006/relationships/hyperlink" Id="rId38" Target="https://stocksnipertrading.com/blog/2-candle-rejection" TargetMode="External" /><Relationship Type="http://schemas.openxmlformats.org/officeDocument/2006/relationships/hyperlink" Id="rId29" Target="https://stocksnipertrading.com/blog/2-candle-rejection#:~:text=%2A%20,in%20the%20expected%20market%20direction" TargetMode="External" /><Relationship Type="http://schemas.openxmlformats.org/officeDocument/2006/relationships/hyperlink" Id="rId36" Target="https://www.binance.com/en/square/post/9234157349730" TargetMode="External" /><Relationship Type="http://schemas.openxmlformats.org/officeDocument/2006/relationships/hyperlink" Id="rId24" Target="https://www.binance.com/en/square/post/9234157349730#:~:text=2" TargetMode="External" /><Relationship Type="http://schemas.openxmlformats.org/officeDocument/2006/relationships/hyperlink" Id="rId37" Target="https://www.fluxcharts.com/articles/Trading-Concepts/Price-Action/Fair-Value-Gaps" TargetMode="External" /><Relationship Type="http://schemas.openxmlformats.org/officeDocument/2006/relationships/hyperlink" Id="rId27" Target="https://www.fluxcharts.com/articles/Trading-Concepts/Price-Action/Fair-Value-Gaps#:~:text=The%20high%20value%20of%20the,2" TargetMode="External" /><Relationship Type="http://schemas.openxmlformats.org/officeDocument/2006/relationships/hyperlink" Id="rId28" Target="https://www.fluxcharts.com/articles/Trading-Concepts/Price-Action/Fair-Value-Gaps#:~:text=The%20low%20of%20the%20candle,right%20of%20the%20large%20candle" TargetMode="External" /><Relationship Type="http://schemas.openxmlformats.org/officeDocument/2006/relationships/hyperlink" Id="rId35" Target="https://www.investopedia.com/terms/b/bearishengulfingp.asp" TargetMode="External" /><Relationship Type="http://schemas.openxmlformats.org/officeDocument/2006/relationships/hyperlink" Id="rId23" Target="https://www.investopedia.com/terms/b/bearishengulfingp.asp#:~:text=bullish%20candle%20that%20forms%20initially,to%20overshadow%20the%20previous%20candle%27s" TargetMode="External" /><Relationship Type="http://schemas.openxmlformats.org/officeDocument/2006/relationships/hyperlink" Id="rId33" Target="https://www.investopedia.com/terms/b/bullishengulfingpattern.asp" TargetMode="External" /><Relationship Type="http://schemas.openxmlformats.org/officeDocument/2006/relationships/hyperlink" Id="rId21" Target="https://www.investopedia.com/terms/b/bullishengulfingpattern.asp#:~:text=The%C2%A0bullish%20engulfing%20pattern%C2%A0is%20a%20two,length%20of%20the%20tail%20shado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phemex.com/fr/academy/long-wick-candle-trading" TargetMode="External" /><Relationship Type="http://schemas.openxmlformats.org/officeDocument/2006/relationships/hyperlink" Id="rId22" Target="https://phemex.com/fr/academy/long-wick-candle-trading#:~:text=forte,Pour" TargetMode="External" /><Relationship Type="http://schemas.openxmlformats.org/officeDocument/2006/relationships/hyperlink" Id="rId38" Target="https://stocksnipertrading.com/blog/2-candle-rejection" TargetMode="External" /><Relationship Type="http://schemas.openxmlformats.org/officeDocument/2006/relationships/hyperlink" Id="rId29" Target="https://stocksnipertrading.com/blog/2-candle-rejection#:~:text=%2A%20,in%20the%20expected%20market%20direction" TargetMode="External" /><Relationship Type="http://schemas.openxmlformats.org/officeDocument/2006/relationships/hyperlink" Id="rId36" Target="https://www.binance.com/en/square/post/9234157349730" TargetMode="External" /><Relationship Type="http://schemas.openxmlformats.org/officeDocument/2006/relationships/hyperlink" Id="rId24" Target="https://www.binance.com/en/square/post/9234157349730#:~:text=2" TargetMode="External" /><Relationship Type="http://schemas.openxmlformats.org/officeDocument/2006/relationships/hyperlink" Id="rId37" Target="https://www.fluxcharts.com/articles/Trading-Concepts/Price-Action/Fair-Value-Gaps" TargetMode="External" /><Relationship Type="http://schemas.openxmlformats.org/officeDocument/2006/relationships/hyperlink" Id="rId27" Target="https://www.fluxcharts.com/articles/Trading-Concepts/Price-Action/Fair-Value-Gaps#:~:text=The%20high%20value%20of%20the,2" TargetMode="External" /><Relationship Type="http://schemas.openxmlformats.org/officeDocument/2006/relationships/hyperlink" Id="rId28" Target="https://www.fluxcharts.com/articles/Trading-Concepts/Price-Action/Fair-Value-Gaps#:~:text=The%20low%20of%20the%20candle,right%20of%20the%20large%20candle" TargetMode="External" /><Relationship Type="http://schemas.openxmlformats.org/officeDocument/2006/relationships/hyperlink" Id="rId35" Target="https://www.investopedia.com/terms/b/bearishengulfingp.asp" TargetMode="External" /><Relationship Type="http://schemas.openxmlformats.org/officeDocument/2006/relationships/hyperlink" Id="rId23" Target="https://www.investopedia.com/terms/b/bearishengulfingp.asp#:~:text=bullish%20candle%20that%20forms%20initially,to%20overshadow%20the%20previous%20candle%27s" TargetMode="External" /><Relationship Type="http://schemas.openxmlformats.org/officeDocument/2006/relationships/hyperlink" Id="rId33" Target="https://www.investopedia.com/terms/b/bullishengulfingpattern.asp" TargetMode="External" /><Relationship Type="http://schemas.openxmlformats.org/officeDocument/2006/relationships/hyperlink" Id="rId21" Target="https://www.investopedia.com/terms/b/bullishengulfingpattern.asp#:~:text=The%C2%A0bullish%20engulfing%20pattern%C2%A0is%20a%20two,length%20of%20the%20tail%20shado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2026-01-02T15:37:15Z</dcterms:created>
  <dcterms:modified xsi:type="dcterms:W3CDTF">2026-01-02T15:37:15Z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