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华为 PC 营销智能体</w:t>
        <w:br/>
        <w:t>Web 工作台项目说明书</w:t>
      </w:r>
    </w:p>
    <w:p>
      <w:pPr>
        <w:pStyle w:val="Subtitle"/>
      </w:pPr>
      <w:r>
        <w:t>产品功能  实现架构  使用流程  部署与验证</w:t>
      </w:r>
    </w:p>
    <w:p>
      <w:r>
        <w:t>版本记录日期  2026 年 10 月 18 日</w:t>
      </w:r>
    </w:p>
    <w:p>
      <w:r>
        <w:t>本说明书面向项目评审、门店运营人员和后续维护者，解释系统如何把营销需求转化为有资料依据的图文内容，以及人工确认、证据核验和版本管理如何贯穿整个过程。</w:t>
      </w:r>
    </w:p>
    <w:p>
      <w:r>
        <w:t>项目已具备任务创建、需求追问、内容规划、图文编辑、核验与导出界面。GitHub 已同步当前工程；魔搭创空间的 Git 同步内容已在本地准备，因缺少发布认证，尚未推送或验证上线。</w:t>
      </w:r>
    </w:p>
    <w:p>
      <w:pPr>
        <w:pStyle w:val="Heading2"/>
      </w:pPr>
      <w:r>
        <w:t>产品定位</w:t>
      </w:r>
    </w:p>
    <w:p>
      <w:r>
        <w:t>目标用户是华为门店导购与营销运营人员。用户描述产品、人群、场景和发布平台后，系统组织资料检索、事实抽取、素材筛选、内容规划及生成。未经证据支持的营销方向不会直接作为产品结论发布。</w:t>
      </w:r>
    </w:p>
    <w:p>
      <w:pPr>
        <w:pStyle w:val="Heading2"/>
      </w:pPr>
      <w:r>
        <w:t>阅读导航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rPr>
          <w:tblHeader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章节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1 产品与使用场景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目标、场景与能力边界</w:t>
            </w:r>
          </w:p>
        </w:tc>
      </w:tr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2 操作流程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两次确认、资料暂停处理与导出</w:t>
            </w:r>
          </w:p>
        </w:tc>
      </w:tr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3 架构与数据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六个模块、证据与任务版本</w:t>
            </w:r>
          </w:p>
        </w:tc>
      </w:tr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4 交互与质量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工作台、异常反馈与测试证据</w:t>
            </w:r>
          </w:p>
        </w:tc>
      </w:tr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5 部署与维护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本地运行、云端配置和上线待办</w:t>
            </w:r>
          </w:p>
        </w:tc>
      </w:tr>
    </w:tbl>
    <w:p/>
    <w:p>
      <w:r>
        <w:t>代码快照：GitHub main / 48e1de0。本文以源码与已执行检查为依据；不将模拟数据或历史最小接入测试等同于云端完整业务验收。</w:t>
      </w:r>
    </w:p>
    <w:p>
      <w:r>
        <w:br w:type="page"/>
      </w:r>
    </w:p>
    <w:p>
      <w:pPr>
        <w:pStyle w:val="Heading1"/>
      </w:pPr>
      <w:r>
        <w:t>1 产品与使用场景</w:t>
      </w:r>
    </w:p>
    <w:p>
      <w:pPr>
        <w:pStyle w:val="Heading2"/>
      </w:pPr>
      <w:r>
        <w:t>1 1 典型任务</w:t>
      </w:r>
    </w:p>
    <w:p>
      <w:r>
        <w:t>示例输入：帮我为准备开学购机的大学新生，围绕指定 MateBook 型号设计一篇小红书图文，突出校园学习场景。系统从文字中识别产品、目标人群、平台与目标，缺少关键条件时在当前任务内追问。</w:t>
      </w:r>
    </w:p>
    <w:p>
      <w:r>
        <w:t>若用户希望突出轻便、续航等卖点，查证前应表达为“需要验证重量及携带体验依据”“需要验证续航数据与测试条件”。资料只有电池容量时，不能据此推导“一天续航”等承诺。</w:t>
      </w:r>
    </w:p>
    <w:p>
      <w:pPr>
        <w:pStyle w:val="Heading2"/>
      </w:pPr>
      <w:r>
        <w:t>1 2 平台与内容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rPr>
          <w:tblHeader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平台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呈现与使用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小红书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图文阅读预览、标题与标签；强调场景化表达。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微信公众号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文章式标题、导语、正文与段落配图。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门店朋友圈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较短文案、社交阅读布局与到店体验邀请。</w:t>
            </w:r>
          </w:p>
        </w:tc>
      </w:tr>
    </w:tbl>
    <w:p/>
    <w:p>
      <w:r>
        <w:t>切换预览可查看布局，但真正转换发布平台需要重新应用平台内容规则。行动引导可采用“欢迎到店体验、咨询”，未提供依据时不编造具体门店、地址、活动日程或预约安排。</w:t>
      </w:r>
    </w:p>
    <w:p>
      <w:pPr>
        <w:pStyle w:val="Heading2"/>
      </w:pPr>
      <w:r>
        <w:t>1 3 可信表达边界</w:t>
      </w:r>
    </w:p>
    <w:p>
      <w:r>
        <w:t>价格、补贴和优惠必须有可用资料及适用范围；知识库缺少相关内容时，不生成具体金额或政策承诺。型号、配置、地区和测试条件应随事实保留，避免把不同版本的数据拼成一个结论。</w:t>
      </w:r>
    </w:p>
    <w:p>
      <w:r>
        <w:t>产品图片来自所选资料源，并与型号和内容段落关联。用户可更换当前产品的可用图片；未经核对的外部图片不作为替代。模型交叉核验提供辅助判断，不构成产品性能或合规结果的绝对保证。</w:t>
      </w:r>
    </w:p>
    <w:p>
      <w:r>
        <w:br w:type="page"/>
      </w:r>
    </w:p>
    <w:p>
      <w:pPr>
        <w:pStyle w:val="Heading1"/>
      </w:pPr>
      <w:r>
        <w:t>2 完整操作流程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rPr>
          <w:tblHeader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用户操作与系统响应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创建任务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输入自然语言；可选字段辅助补充，不强制重复填写。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确认策略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回答必要追问，检查产品、人群、场景和待验证方向，完成第一次确认。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检索资料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系统读取 ima，整理事实、图片与覆盖情况；可展开原文依据。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确认规划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检查内容大纲、卖点顺序、事实引用与配图位置，完成第二次确认。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编辑核验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生成平台稿件并核验；直接修改后显式保存，原核验结果失效。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最终导出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符合服务端核验与导出门槛后复制文案，下载 Markdown 或图文包。</w:t>
            </w:r>
          </w:p>
        </w:tc>
      </w:tr>
    </w:tbl>
    <w:p/>
    <w:p>
      <w:pPr>
        <w:pStyle w:val="Heading2"/>
      </w:pPr>
      <w:r>
        <w:t>2 1 资料审查暂停时如何继续</w:t>
      </w:r>
    </w:p>
    <w:p>
      <w:r>
        <w:t>未满足的调研结果放在知识库依据顶部，列明已找到什么、缺少什么、影响哪些方向，以及是否允许放弃。系统不把全部缺证统称为“生成失败”。</w:t>
      </w:r>
    </w:p>
    <w:p>
      <w:r>
        <w:t>路径一：选择允许放弃的方向，先预览影响，再明确确认。预览列出删除项、依赖项、保留事实、排除图片、禁止主题和剩余阻塞。涉及用户原始明确要求的降级，需逐项授权。</w:t>
      </w:r>
    </w:p>
    <w:p>
      <w:r>
        <w:t>路径二：在原 ima 知识库补充资料后刷新证据。刷新会重新获取资料；仅重复评估旧快照不能替代补充资料。当前没有任务级上传入口。</w:t>
      </w:r>
    </w:p>
    <w:p>
      <w:r>
        <w:t>路径三：整体修改营销需求，返回策略分析与确认。型号、安全或不可放弃的兼容性条件仍然阻塞，不会因局部取舍被静默跳过。</w:t>
      </w:r>
    </w:p>
    <w:p>
      <w:pPr>
        <w:pStyle w:val="Heading2"/>
      </w:pPr>
      <w:r>
        <w:t>2 2 保存与重新核验</w:t>
      </w:r>
    </w:p>
    <w:p>
      <w:r>
        <w:t>直接编辑标题、正文或图片后必须显式保存。当前稿件与原核验指纹不一致时，标签显示待重新核验。版本冲突保留输入，提示重新载入；不能以旧报告证明新稿件已经通过。</w:t>
      </w:r>
    </w:p>
    <w:p>
      <w:r>
        <w:br w:type="page"/>
      </w:r>
    </w:p>
    <w:p>
      <w:pPr>
        <w:pStyle w:val="Heading1"/>
      </w:pPr>
      <w:r>
        <w:t>3 系统架构与证据数据</w:t>
      </w:r>
    </w:p>
    <w:p>
      <w:r>
        <w:t>前端采用 React 19、TypeScript、Vite 和 Lucide 图标；后端采用 FastAPI、SQLite 和 Python 编排。ima 客户端通过 Node.js 脚本调用 OpenAPI。生产前端由后端同源提供。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4592"/>
        <w:gridCol w:w="2665"/>
      </w:tblGrid>
      <w:tr>
        <w:trPr>
          <w:tblHeader/>
        </w:trP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职责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关键产物</w:t>
            </w:r>
          </w:p>
        </w:tc>
      </w:tr>
      <w:t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Brief Agent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解析与追问，建立营销策略和检索需求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Brief 与确认记录</w:t>
            </w:r>
          </w:p>
        </w:tc>
      </w:tr>
      <w:t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Fact Extractor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提取事实、原文和限定条件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Fact Cards</w:t>
            </w:r>
          </w:p>
        </w:tc>
      </w:tr>
      <w:t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Asset Selector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规则筛选并辅助理解图片，核对型号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Asset Cards</w:t>
            </w:r>
          </w:p>
        </w:tc>
      </w:tr>
      <w:t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Content Planner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规划结构、卖点顺序和图片位置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可编辑内容大纲</w:t>
            </w:r>
          </w:p>
        </w:tc>
      </w:tr>
      <w:t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Platform Writer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按确认规划与平台规则生成或修订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平台图文稿</w:t>
            </w:r>
          </w:p>
        </w:tc>
      </w:tr>
      <w:t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Fact Reviewer</w:t>
            </w:r>
          </w:p>
        </w:tc>
        <w:tc>
          <w:tcPr>
            <w:tcW w:type="dxa" w:w="4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规则与模型检查事实、图片及表述</w:t>
            </w:r>
          </w:p>
        </w:tc>
        <w:tc>
          <w:tcPr>
            <w:tcW w:type="dxa" w:w="26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问题报告与核验状态</w:t>
            </w:r>
          </w:p>
        </w:tc>
      </w:tr>
    </w:tbl>
    <w:p/>
    <w:p>
      <w:r>
        <w:t>模型名称与服务地址是部署配置，不代表平台自带相应模型权限。当前默认理解、规划和写作角色为 claude-sonnet-5-5，图片理解与核验角色为 gpt-6.1-sol；实际可用性取决于所配置服务。</w:t>
      </w:r>
    </w:p>
    <w:p>
      <w:pPr>
        <w:pStyle w:val="Heading2"/>
      </w:pPr>
      <w:r>
        <w:t>3 1 数据与版本</w:t>
      </w:r>
    </w:p>
    <w:p>
      <w:r>
        <w:t>任务保存需求、版本、阶段状态、Brief、事实包、规划、文稿和核验结果。事实保留来源标识、原文引用与条件；图片保留来源、说明和型号检查结果。</w:t>
      </w:r>
    </w:p>
    <w:p>
      <w:r>
        <w:t>原始资料覆盖情况与用户授权后的执行范围分别保存。局部取舍形成 execution_scope 和 resolution_history，执行覆盖通过 execution_coverage 表达；被放弃的缺证项不会被改写为“已找到依据”。</w:t>
      </w:r>
    </w:p>
    <w:p>
      <w:pPr>
        <w:pStyle w:val="Heading2"/>
      </w:pPr>
      <w:r>
        <w:t>3 2 接口约定</w:t>
      </w:r>
    </w:p>
    <w:p>
      <w:r>
        <w:t>资料审查使用 evidence-review 查询、evidence-resolution/preview 预览、evidence-resolution/confirm 确认，以及 refresh-evidence 刷新。确认携带版本与预览标识；成功后停在规划确认阶段，不自动开始写稿。详细字段以 docs/openapi.json 与专项契约为准。</w:t>
      </w:r>
    </w:p>
    <w:p>
      <w:r>
        <w:br w:type="page"/>
      </w:r>
    </w:p>
    <w:p>
      <w:pPr>
        <w:pStyle w:val="Heading1"/>
      </w:pPr>
      <w:r>
        <w:t>4 工作台交互与验证</w:t>
      </w:r>
    </w:p>
    <w:p>
      <w:pPr>
        <w:pStyle w:val="Heading2"/>
      </w:pPr>
      <w:r>
        <w:t>4 1 页面组织</w:t>
      </w:r>
    </w:p>
    <w:p>
      <w:r>
        <w:t>浅灰背景、白色工作面板、圆润图标与克制强调色构成统一风格。首页以自然语言输入为主，首次策略确认后再展开阶段性流程。左侧导航提供新建与历史任务；同一任务中持续保留产品和平台上下文。</w:t>
      </w:r>
    </w:p>
    <w:p>
      <w:r>
        <w:t>规划支持段落与图片位置调整。创作区提供文本编辑、三平台预览、事实引用与图片来源。来源与技术细节渐进展开，不以原始 JSON 或模型内部推理替代用户可理解的结果。</w:t>
      </w:r>
    </w:p>
    <w:p>
      <w:pPr>
        <w:pStyle w:val="Heading2"/>
      </w:pPr>
      <w:r>
        <w:t>4 2 异常与交互反馈</w:t>
      </w:r>
    </w:p>
    <w:p>
      <w:r>
        <w:t>界面区分缺项、连接失败、没有资料、素材不足、型号冲突、核验未通过、生成失败和编辑后等待重核验。耗时操作展示阶段状态；过期版本与请求失败保留必要输入，并给出可继续的入口。</w:t>
      </w:r>
    </w:p>
    <w:p>
      <w:pPr>
        <w:pStyle w:val="Heading2"/>
      </w:pPr>
      <w:r>
        <w:t>4 3 验证证据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087"/>
      </w:tblGrid>
      <w:tr>
        <w:trPr>
          <w:tblHeader/>
        </w:trP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检查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结果与边界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本次前端生产构建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tsc 与 Vite 构建通过。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本次后端回归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185 项 unittest 通过，使用隔离数据。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此前前端完整回归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55 项 Playwright 测试通过；详见 frontend/qa/QA_REPORT.md。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视觉与基础无障碍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已对代表页面进行桌面与手机截图检查；自动化含 axe、键盘与溢出检查。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真实服务检查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此前验证部分 ima 接入及 evidence-review 读取；不等同全部型号或云端真实全流程。</w:t>
            </w:r>
          </w:p>
        </w:tc>
      </w:tr>
      <w:tr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云端上线</w:t>
            </w:r>
          </w:p>
        </w:tc>
        <w:tc>
          <w:tcPr>
            <w:tcW w:type="dxa" w:w="70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尚未验证；Git 推送待魔搭写入认证，容器构建与云端密钥配置待完成。</w:t>
            </w:r>
          </w:p>
        </w:tc>
      </w:tr>
    </w:tbl>
    <w:p/>
    <w:p>
      <w:r>
        <w:t>构建成功证明工程可编译，隔离测试证明特定输入下的逻辑行为；两者均不能替代真实营销效果、模型费用、并发容量或比赛结果。当前没有官方比赛成绩或平台验收结论。</w:t>
      </w:r>
    </w:p>
    <w:p>
      <w:r>
        <w:br w:type="page"/>
      </w:r>
    </w:p>
    <w:p>
      <w:pPr>
        <w:pStyle w:val="Heading1"/>
      </w:pPr>
      <w:r>
        <w:t>5 部署与维护</w:t>
      </w:r>
    </w:p>
    <w:p>
      <w:pPr>
        <w:pStyle w:val="Heading2"/>
      </w:pPr>
      <w:r>
        <w:t>5 1 本地启动</w:t>
      </w:r>
    </w:p>
    <w:p>
      <w:r>
        <w:t>安装 Python 3.12 与 Node.js 22，在项目根目录创建虚拟环境并安装 backend/requirements.lock.txt；执行 npm --prefix frontend ci 和 npm --prefix frontend run build。随后运行 python -m uvicorn backend.main:app --host 127.0.0.1 --port 8765，浏览器打开本地 8765 端口。</w:t>
      </w:r>
    </w:p>
    <w:p>
      <w:r>
        <w:t>前端开发使用 npm --prefix frontend run dev -- --port 5174。测试执行方式、浏览器可执行文件选择和接口文件位置见仓库 README。</w:t>
      </w:r>
    </w:p>
    <w:p>
      <w:pPr>
        <w:pStyle w:val="Heading2"/>
      </w:pPr>
      <w:r>
        <w:t>5 2 魔搭配置</w:t>
      </w:r>
    </w:p>
    <w:p>
      <w:r>
        <w:t>目标空间为 Xxxxcxc/Huawei-Marketing，使用 Docker、CPU 资源和 7860 端口。Dockerfile 多阶段构建前端，并在 Python 运行环境保留 Node.js 以执行 ima 客户端。当前采用一个 worker。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195"/>
        <w:gridCol w:w="5216"/>
      </w:tblGrid>
      <w:tr>
        <w:trPr>
          <w:tblHeader/>
        </w:trPr>
        <w:tc>
          <w:tcPr>
            <w:tcW w:type="dxa" w:w="4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环境变量</w:t>
            </w:r>
          </w:p>
        </w:tc>
        <w:tc>
          <w:tcPr>
            <w:tcW w:type="dxa" w:w="5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配置内容</w:t>
            </w:r>
          </w:p>
        </w:tc>
      </w:tr>
      <w:tr>
        <w:tc>
          <w:tcPr>
            <w:tcW w:type="dxa" w:w="4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IMA_OPENAPI_CLIENTID</w:t>
            </w:r>
          </w:p>
        </w:tc>
        <w:tc>
          <w:tcPr>
            <w:tcW w:type="dxa" w:w="5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具有指定知识库访问权的 ima Client ID</w:t>
            </w:r>
          </w:p>
        </w:tc>
      </w:tr>
      <w:tr>
        <w:tc>
          <w:tcPr>
            <w:tcW w:type="dxa" w:w="4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IMA_OPENAPI_APIKEY</w:t>
            </w:r>
          </w:p>
        </w:tc>
        <w:tc>
          <w:tcPr>
            <w:tcW w:type="dxa" w:w="5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配套 ima OpenAPI 密钥</w:t>
            </w:r>
          </w:p>
        </w:tc>
      </w:tr>
      <w:tr>
        <w:tc>
          <w:tcPr>
            <w:tcW w:type="dxa" w:w="4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HUAWEI_LLM_API_KEY</w:t>
            </w:r>
          </w:p>
        </w:tc>
        <w:tc>
          <w:tcPr>
            <w:tcW w:type="dxa" w:w="5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写作与需求理解服务密钥</w:t>
            </w:r>
          </w:p>
        </w:tc>
      </w:tr>
      <w:tr>
        <w:tc>
          <w:tcPr>
            <w:tcW w:type="dxa" w:w="4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HUAWEI_LLM_REVIEWER_API_KEY</w:t>
            </w:r>
          </w:p>
        </w:tc>
        <w:tc>
          <w:tcPr>
            <w:tcW w:type="dxa" w:w="5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可选独立核验密钥</w:t>
            </w:r>
          </w:p>
        </w:tc>
      </w:tr>
      <w:tr>
        <w:tc>
          <w:tcPr>
            <w:tcW w:type="dxa" w:w="4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HUAWEI_LLM_BASE_URL</w:t>
            </w:r>
          </w:p>
        </w:tc>
        <w:tc>
          <w:tcPr>
            <w:tcW w:type="dxa" w:w="5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可选配套 HTTPS 模型服务地址</w:t>
            </w:r>
          </w:p>
        </w:tc>
      </w:tr>
      <w:tr>
        <w:tc>
          <w:tcPr>
            <w:tcW w:type="dxa" w:w="419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HUAWEI_ALLOWED_HOSTS</w:t>
            </w:r>
          </w:p>
        </w:tc>
        <w:tc>
          <w:tcPr>
            <w:tcW w:type="dxa" w:w="52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创空间实际域名，按部署环境设置</w:t>
            </w:r>
          </w:p>
        </w:tc>
      </w:tr>
    </w:tbl>
    <w:p/>
    <w:p>
      <w:pPr>
        <w:pStyle w:val="Heading2"/>
      </w:pPr>
      <w:r>
        <w:t>5 3 上线前待办</w:t>
      </w:r>
    </w:p>
    <w:p>
      <w:r>
        <w:t>GitHub main 的工程快照已推送。魔搭仓库初始化历史已在本地保留并合并，但远端推送因缺少认证失败。应先配置魔搭写入凭证，再验证构建日志、健康接口和真实 ima 目录读取。</w:t>
      </w:r>
    </w:p>
    <w:p>
      <w:r>
        <w:t>用户选择公开访问。当前源码仍需完成公开模式的任务隔离和共享配置保护，已向后端协调，本文不宣称该能力已实现。密钥只在私密部署配置中保存，.local、任务数据库和本地知识库 ZIP 不随 Git 发布。</w:t>
      </w:r>
    </w:p>
    <w:p>
      <w:r>
        <w:t>容器数据默认位于 /app/.local；需根据平台实际持久卷配置 HUAWEI_DATA_DIR，并验证重建后的数据保留。公共试用还需评估模型调用额度与并发限制。</w:t>
      </w:r>
    </w:p>
    <w:p>
      <w:r>
        <w:br w:type="page"/>
      </w:r>
    </w:p>
    <w:p>
      <w:pPr>
        <w:pStyle w:val="Heading1"/>
      </w:pPr>
      <w:r>
        <w:t>6 交付文件与维护入口</w:t>
      </w:r>
    </w:p>
    <w:p>
      <w:pPr>
        <w:pStyle w:val="Heading2"/>
      </w:pPr>
      <w:r>
        <w:t>6 1 源码与资料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082"/>
        <w:gridCol w:w="5329"/>
      </w:tblGrid>
      <w:tr>
        <w:trPr>
          <w:tblHeader/>
        </w:trPr>
        <w:tc>
          <w:tcPr>
            <w:tcW w:type="dxa" w:w="40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/>
                <w:sz w:val="18"/>
              </w:rPr>
              <w:t>维护用途</w:t>
            </w:r>
          </w:p>
        </w:tc>
      </w:tr>
      <w:tr>
        <w:tc>
          <w:tcPr>
            <w:tcW w:type="dxa" w:w="40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frontend/src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任务、规划、编辑、预览、证据与核验界面</w:t>
            </w:r>
          </w:p>
        </w:tc>
      </w:tr>
      <w:tr>
        <w:tc>
          <w:tcPr>
            <w:tcW w:type="dxa" w:w="40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frontend/qa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隔离浏览器测试与验证记录</w:t>
            </w:r>
          </w:p>
        </w:tc>
      </w:tr>
      <w:tr>
        <w:tc>
          <w:tcPr>
            <w:tcW w:type="dxa" w:w="40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backend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编排、存储、模型与 ima 调用、规则及测试</w:t>
            </w:r>
          </w:p>
        </w:tc>
      </w:tr>
      <w:tr>
        <w:tc>
          <w:tcPr>
            <w:tcW w:type="dxa" w:w="40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docs/openapi.json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接口字段与请求响应结构</w:t>
            </w:r>
          </w:p>
        </w:tc>
      </w:tr>
      <w:tr>
        <w:tc>
          <w:tcPr>
            <w:tcW w:type="dxa" w:w="40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docs/EVIDENCE_RESOLUTION.md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资料审查取舍、刷新与阻塞约定</w:t>
            </w:r>
          </w:p>
        </w:tc>
      </w:tr>
      <w:tr>
        <w:tc>
          <w:tcPr>
            <w:tcW w:type="dxa" w:w="40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docs/BRIEF_V2_CONTRACT.md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7F9FB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需求解析、追问与确认约定</w:t>
            </w:r>
          </w:p>
        </w:tc>
      </w:tr>
      <w:tr>
        <w:tc>
          <w:tcPr>
            <w:tcW w:type="dxa" w:w="408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docs/DEPLOYMENT.md</w:t>
            </w:r>
          </w:p>
        </w:tc>
        <w:tc>
          <w:tcPr>
            <w:tcW w:type="dxa" w:w="532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18"/>
              </w:rPr>
              <w:t>容器部署、环境配置与待验证事项</w:t>
            </w:r>
          </w:p>
        </w:tc>
      </w:tr>
    </w:tbl>
    <w:p/>
    <w:p>
      <w:pPr>
        <w:pStyle w:val="Heading2"/>
      </w:pPr>
      <w:r>
        <w:t>6 2 发布地址</w:t>
      </w:r>
    </w:p>
    <w:p>
      <w:r>
        <w:t>GitHub 仓库：https://github.com/xxxxdxc/Huawei-Marketing</w:t>
      </w:r>
    </w:p>
    <w:p>
      <w:r>
        <w:t>魔搭创空间：https://www.modelscope.cn/studios/Xxxxcxc/Huawei-Marketing</w:t>
      </w:r>
    </w:p>
    <w:p>
      <w:r>
        <w:t>创空间链接标识发布目标，不表示此版本已在线运行。发布状态以实际远端提交、镜像构建日志和应用访问结果为准。</w:t>
      </w:r>
    </w:p>
    <w:p>
      <w:pPr>
        <w:pStyle w:val="Heading2"/>
      </w:pPr>
      <w:r>
        <w:t>6 3 后续验收建议</w:t>
      </w:r>
    </w:p>
    <w:p>
      <w:r>
        <w:t>选择知识库有充分资料的明确型号，用真实场景走完两次确认。检查原文是否可追溯、图文是否匹配、平台表达是否合适，再编辑正文并确认核验状态失效。最后重新核验并下载 Markdown 或图文包。</w:t>
      </w:r>
    </w:p>
    <w:p>
      <w:r>
        <w:t>另选择一条资料不足的需求，验证未满足项置顶、取舍预览与逐项授权，以及不可放弃门槛不会被绕过。该流程应由可观察的界面和服务端记录共同证明。</w:t>
      </w:r>
    </w:p>
    <w:p>
      <w:pPr>
        <w:pStyle w:val="Heading2"/>
      </w:pPr>
      <w:r>
        <w:t>6 4 依据与更新</w:t>
      </w:r>
    </w:p>
    <w:p>
      <w:r>
        <w:t>说明依据为当前工程源码、接口契约、frontend/qa/QA_REPORT.md、本次构建和后端回归输出，以及 Git 推送结果。历史交接文档含阶段性记录；较新的专项接口契约优先，实际运行仍须验证。</w:t>
      </w:r>
    </w:p>
    <w:p>
      <w:r>
        <w:t>产品参数与营销结论不在本说明书中预先认定，使用时以已取得的原始产品资料、适用条件和当前稿件核验结果为准。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  <w:sz w:val="18"/>
      </w:rPr>
      <w:t>Huawei Marketing  |  项目说明书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