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1289B">
      <w:pPr>
        <w:spacing w:after="20"/>
        <w:jc w:val="center"/>
      </w:pPr>
      <w:r>
        <w:rPr>
          <w:rFonts w:ascii="Arial" w:hAnsi="Arial" w:eastAsia="黑体"/>
          <w:b/>
          <w:color w:val="17375E"/>
          <w:sz w:val="34"/>
        </w:rPr>
        <w:t>计算机类新生选课与培养方案问答助手</w:t>
      </w:r>
    </w:p>
    <w:p w14:paraId="26D4C134">
      <w:pPr>
        <w:spacing w:after="120" w:line="307" w:lineRule="auto"/>
      </w:pPr>
      <w:r>
        <w:rPr>
          <w:rFonts w:ascii="Times New Roman" w:hAnsi="Times New Roman" w:eastAsia="宋体"/>
          <w:b/>
          <w:color w:val="222222"/>
          <w:sz w:val="19"/>
        </w:rPr>
        <w:t>一句话概述</w:t>
      </w:r>
      <w:r>
        <w:rPr>
          <w:rFonts w:ascii="Times New Roman" w:hAnsi="Times New Roman" w:eastAsia="宋体"/>
          <w:b w:val="0"/>
          <w:color w:val="222222"/>
          <w:sz w:val="19"/>
        </w:rPr>
        <w:t>：把培养方案与教师数据结构化入库并向量化，由大模型 API 负责理解与表达，由专属 Skill 负责领域流程，最终封装为 DSH 插件交付使用。</w:t>
      </w:r>
      <w:bookmarkStart w:id="0" w:name="_GoBack"/>
      <w:bookmarkEnd w:id="0"/>
    </w:p>
    <w:p w14:paraId="318846F1">
      <w:pPr>
        <w:pStyle w:val="3"/>
        <w:spacing w:before="180" w:after="80" w:line="276" w:lineRule="auto"/>
      </w:pPr>
      <w:r>
        <w:rPr>
          <w:rFonts w:ascii="Arial" w:hAnsi="Arial" w:eastAsia="黑体"/>
          <w:b/>
          <w:color w:val="17375E"/>
          <w:sz w:val="27"/>
        </w:rPr>
        <w:t>一、项目概述</w:t>
      </w:r>
    </w:p>
    <w:p w14:paraId="5AA53A40">
      <w:pPr>
        <w:pStyle w:val="4"/>
        <w:spacing w:before="120" w:after="60" w:line="276" w:lineRule="auto"/>
      </w:pPr>
      <w:r>
        <w:rPr>
          <w:rFonts w:ascii="Arial" w:hAnsi="Arial" w:eastAsia="黑体"/>
          <w:b/>
          <w:color w:val="17375E"/>
          <w:sz w:val="22"/>
        </w:rPr>
        <w:t>1.1 问题</w:t>
      </w:r>
    </w:p>
    <w:p w14:paraId="37BD41E8">
      <w:pPr>
        <w:pStyle w:val="16"/>
        <w:numPr>
          <w:ilvl w:val="0"/>
          <w:numId w:val="0"/>
        </w:numPr>
        <w:spacing w:after="40" w:line="307" w:lineRule="auto"/>
        <w:ind w:left="-48" w:leftChars="0"/>
      </w:pPr>
      <w:r>
        <w:rPr>
          <w:rFonts w:hint="eastAsia"/>
          <w:b/>
          <w:color w:val="222222"/>
          <w:sz w:val="20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20"/>
        </w:rPr>
        <w:t>培养方案难读</w:t>
      </w:r>
      <w:r>
        <w:rPr>
          <w:rFonts w:ascii="Times New Roman" w:hAnsi="Times New Roman" w:eastAsia="宋体"/>
          <w:b w:val="0"/>
          <w:color w:val="222222"/>
          <w:sz w:val="20"/>
        </w:rPr>
        <w:t>：新生读完仍不知道本学期该选什么。</w:t>
      </w:r>
    </w:p>
    <w:p w14:paraId="3FF0647B">
      <w:pPr>
        <w:pStyle w:val="16"/>
        <w:numPr>
          <w:ilvl w:val="0"/>
          <w:numId w:val="0"/>
        </w:numPr>
        <w:spacing w:after="40" w:line="307" w:lineRule="auto"/>
        <w:ind w:left="-48" w:leftChars="0"/>
        <w:rPr>
          <w:rFonts w:ascii="Times New Roman" w:hAnsi="Times New Roman" w:eastAsia="宋体"/>
          <w:b w:val="0"/>
          <w:color w:val="222222"/>
          <w:sz w:val="20"/>
        </w:rPr>
      </w:pPr>
      <w:r>
        <w:rPr>
          <w:rFonts w:hint="eastAsia"/>
          <w:b/>
          <w:color w:val="222222"/>
          <w:sz w:val="20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20"/>
        </w:rPr>
        <w:t>规则分散且嵌套</w:t>
      </w:r>
      <w:r>
        <w:rPr>
          <w:rFonts w:ascii="Times New Roman" w:hAnsi="Times New Roman" w:eastAsia="宋体"/>
          <w:b w:val="0"/>
          <w:color w:val="222222"/>
          <w:sz w:val="20"/>
        </w:rPr>
        <w:t>：教务系统规则、学院规定、专业要求、开课计划散落在不同文件</w:t>
      </w:r>
    </w:p>
    <w:p w14:paraId="31036C47">
      <w:pPr>
        <w:pStyle w:val="16"/>
        <w:numPr>
          <w:ilvl w:val="0"/>
          <w:numId w:val="0"/>
        </w:numPr>
        <w:spacing w:after="40" w:line="307" w:lineRule="auto"/>
        <w:ind w:left="-48" w:leftChars="0"/>
        <w:rPr>
          <w:rFonts w:hint="eastAsia"/>
          <w:b w:val="0"/>
          <w:color w:val="222222"/>
          <w:sz w:val="20"/>
          <w:lang w:eastAsia="zh-CN"/>
        </w:rPr>
      </w:pPr>
      <w:r>
        <w:rPr>
          <w:rFonts w:hint="eastAsia"/>
          <w:b/>
          <w:color w:val="222222"/>
          <w:sz w:val="20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20"/>
        </w:rPr>
        <w:t>信息靠口口相传</w:t>
      </w:r>
      <w:r>
        <w:rPr>
          <w:rFonts w:ascii="Times New Roman" w:hAnsi="Times New Roman" w:eastAsia="宋体"/>
          <w:b w:val="0"/>
          <w:color w:val="222222"/>
          <w:sz w:val="20"/>
        </w:rPr>
        <w:t>：辅导员、学长、群聊口径不一、时效滞后</w:t>
      </w:r>
      <w:r>
        <w:rPr>
          <w:rFonts w:hint="eastAsia"/>
          <w:b w:val="0"/>
          <w:color w:val="222222"/>
          <w:sz w:val="20"/>
          <w:lang w:eastAsia="zh-CN"/>
        </w:rPr>
        <w:t>。</w:t>
      </w:r>
    </w:p>
    <w:p w14:paraId="57A60CBD">
      <w:pPr>
        <w:pStyle w:val="16"/>
        <w:numPr>
          <w:ilvl w:val="0"/>
          <w:numId w:val="0"/>
        </w:numPr>
        <w:spacing w:after="40" w:line="307" w:lineRule="auto"/>
        <w:ind w:left="-48" w:leftChars="0"/>
      </w:pPr>
      <w:r>
        <w:rPr>
          <w:rFonts w:hint="eastAsia"/>
          <w:b/>
          <w:color w:val="222222"/>
          <w:sz w:val="20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20"/>
        </w:rPr>
        <w:t>规划缺失</w:t>
      </w:r>
      <w:r>
        <w:rPr>
          <w:rFonts w:ascii="Times New Roman" w:hAnsi="Times New Roman" w:eastAsia="宋体"/>
          <w:b w:val="0"/>
          <w:color w:val="222222"/>
          <w:sz w:val="20"/>
        </w:rPr>
        <w:t>：选课周重复答疑占用辅导员大量时间。</w:t>
      </w:r>
    </w:p>
    <w:p w14:paraId="23103D62">
      <w:pPr>
        <w:pStyle w:val="4"/>
        <w:spacing w:before="120" w:after="60" w:line="276" w:lineRule="auto"/>
      </w:pPr>
      <w:r>
        <w:rPr>
          <w:rFonts w:ascii="Arial" w:hAnsi="Arial" w:eastAsia="黑体"/>
          <w:b/>
          <w:color w:val="17375E"/>
          <w:sz w:val="22"/>
        </w:rPr>
        <w:t>1.2 目标与边界</w:t>
      </w:r>
    </w:p>
    <w:p w14:paraId="2E0C38AF">
      <w:pPr>
        <w:pStyle w:val="16"/>
        <w:numPr>
          <w:ilvl w:val="0"/>
          <w:numId w:val="0"/>
        </w:numPr>
        <w:spacing w:after="40" w:line="307" w:lineRule="auto"/>
        <w:ind w:left="-48" w:leftChars="0"/>
      </w:pPr>
      <w:r>
        <w:rPr>
          <w:rFonts w:hint="eastAsia"/>
          <w:b/>
          <w:color w:val="222222"/>
          <w:sz w:val="20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20"/>
        </w:rPr>
        <w:t>目标</w:t>
      </w:r>
      <w:r>
        <w:rPr>
          <w:rFonts w:ascii="Times New Roman" w:hAnsi="Times New Roman" w:eastAsia="宋体"/>
          <w:b w:val="0"/>
          <w:color w:val="222222"/>
          <w:sz w:val="20"/>
        </w:rPr>
        <w:t>：用自然语言提问即可获得准确、可溯源、个性化的回答，覆盖培养方案解读、课程查询、教师与课程客观信息、规则解释、学分核算、选课规划。</w:t>
      </w:r>
    </w:p>
    <w:p w14:paraId="66885EA3">
      <w:pPr>
        <w:pStyle w:val="16"/>
        <w:numPr>
          <w:ilvl w:val="0"/>
          <w:numId w:val="0"/>
        </w:numPr>
        <w:spacing w:after="40" w:line="307" w:lineRule="auto"/>
        <w:ind w:left="-48" w:leftChars="0"/>
      </w:pPr>
      <w:r>
        <w:rPr>
          <w:rFonts w:hint="eastAsia"/>
          <w:b/>
          <w:color w:val="222222"/>
          <w:sz w:val="20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20"/>
        </w:rPr>
        <w:t>可溯源</w:t>
      </w:r>
      <w:r>
        <w:rPr>
          <w:rFonts w:ascii="Times New Roman" w:hAnsi="Times New Roman" w:eastAsia="宋体"/>
          <w:b w:val="0"/>
          <w:color w:val="222222"/>
          <w:sz w:val="20"/>
        </w:rPr>
        <w:t>：每条事实性结论都能指回原文的章节或条款；检索不到依据就明说，不编造。</w:t>
      </w:r>
    </w:p>
    <w:p w14:paraId="402A454F">
      <w:pPr>
        <w:pStyle w:val="16"/>
        <w:numPr>
          <w:ilvl w:val="0"/>
          <w:numId w:val="0"/>
        </w:numPr>
        <w:spacing w:after="40" w:line="307" w:lineRule="auto"/>
        <w:ind w:left="-48" w:leftChars="0"/>
      </w:pPr>
      <w:r>
        <w:rPr>
          <w:rFonts w:hint="eastAsia"/>
          <w:b/>
          <w:color w:val="222222"/>
          <w:sz w:val="20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20"/>
        </w:rPr>
        <w:t>交付</w:t>
      </w:r>
      <w:r>
        <w:rPr>
          <w:rFonts w:ascii="Times New Roman" w:hAnsi="Times New Roman" w:eastAsia="宋体"/>
          <w:b w:val="0"/>
          <w:color w:val="222222"/>
          <w:sz w:val="20"/>
        </w:rPr>
        <w:t>：以 DSH 插件形态提供，复用其会话、工具调用、Skill 加载与界面能力，装即用、可版本化分发。</w:t>
      </w:r>
    </w:p>
    <w:p w14:paraId="786176F9">
      <w:pPr>
        <w:pStyle w:val="3"/>
        <w:spacing w:before="180" w:after="80" w:line="276" w:lineRule="auto"/>
      </w:pPr>
      <w:r>
        <w:rPr>
          <w:rFonts w:ascii="Arial" w:hAnsi="Arial" w:eastAsia="黑体"/>
          <w:b/>
          <w:color w:val="17375E"/>
          <w:sz w:val="27"/>
        </w:rPr>
        <w:t>二、总体方案</w:t>
      </w:r>
    </w:p>
    <w:p w14:paraId="01302AFC">
      <w:pPr>
        <w:pStyle w:val="4"/>
        <w:spacing w:before="120" w:after="60" w:line="276" w:lineRule="auto"/>
      </w:pPr>
      <w:r>
        <w:rPr>
          <w:rFonts w:ascii="Arial" w:hAnsi="Arial" w:eastAsia="黑体"/>
          <w:b/>
          <w:color w:val="17375E"/>
          <w:sz w:val="22"/>
        </w:rPr>
        <w:t>2.1 三方分工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858"/>
        <w:gridCol w:w="6096"/>
      </w:tblGrid>
      <w:tr w14:paraId="57307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17375E"/>
          </w:tcPr>
          <w:p w14:paraId="3F509C21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组成</w:t>
            </w:r>
          </w:p>
        </w:tc>
        <w:tc>
          <w:tcPr>
            <w:tcW w:w="1858" w:type="dxa"/>
            <w:shd w:val="clear" w:color="auto" w:fill="17375E"/>
          </w:tcPr>
          <w:p w14:paraId="010BEC58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职责</w:t>
            </w:r>
          </w:p>
        </w:tc>
        <w:tc>
          <w:tcPr>
            <w:tcW w:w="6096" w:type="dxa"/>
            <w:shd w:val="clear" w:color="auto" w:fill="17375E"/>
          </w:tcPr>
          <w:p w14:paraId="07085CFB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关键点</w:t>
            </w:r>
          </w:p>
        </w:tc>
      </w:tr>
      <w:tr w14:paraId="14F22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</w:tcPr>
          <w:p w14:paraId="5F6F6D42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关系数据库</w:t>
            </w:r>
          </w:p>
        </w:tc>
        <w:tc>
          <w:tcPr>
            <w:tcW w:w="1858" w:type="dxa"/>
          </w:tcPr>
          <w:p w14:paraId="7897749C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提供确定的事实</w:t>
            </w:r>
          </w:p>
        </w:tc>
        <w:tc>
          <w:tcPr>
            <w:tcW w:w="6096" w:type="dxa"/>
          </w:tcPr>
          <w:p w14:paraId="41BFBE82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学分、学时、开课学期、先修关系、教师授课记录一律查表，不由模型生成</w:t>
            </w:r>
          </w:p>
        </w:tc>
      </w:tr>
      <w:tr w14:paraId="4F977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</w:tcPr>
          <w:p w14:paraId="263CC161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大模型 API</w:t>
            </w:r>
          </w:p>
        </w:tc>
        <w:tc>
          <w:tcPr>
            <w:tcW w:w="1858" w:type="dxa"/>
          </w:tcPr>
          <w:p w14:paraId="36EF28DE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理解与表达</w:t>
            </w:r>
          </w:p>
        </w:tc>
        <w:tc>
          <w:tcPr>
            <w:tcW w:w="6096" w:type="dxa"/>
          </w:tcPr>
          <w:p w14:paraId="7A509697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不负责“记住”培养方案，只负责理解问题、组织语言、标注引用</w:t>
            </w:r>
          </w:p>
        </w:tc>
      </w:tr>
      <w:tr w14:paraId="4B7BA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F2F5F9"/>
          </w:tcPr>
          <w:p w14:paraId="671A9E62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专属 Skill</w:t>
            </w:r>
          </w:p>
        </w:tc>
        <w:tc>
          <w:tcPr>
            <w:tcW w:w="1858" w:type="dxa"/>
            <w:shd w:val="clear" w:color="auto" w:fill="F2F5F9"/>
          </w:tcPr>
          <w:p w14:paraId="4301E021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领域流程</w:t>
            </w:r>
          </w:p>
        </w:tc>
        <w:tc>
          <w:tcPr>
            <w:tcW w:w="6096" w:type="dxa"/>
            <w:shd w:val="clear" w:color="auto" w:fill="F2F5F9"/>
          </w:tcPr>
          <w:p w14:paraId="11265C10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规定查哪张表、检索什么、如何输出、什么情况下必须拒答</w:t>
            </w:r>
          </w:p>
        </w:tc>
      </w:tr>
    </w:tbl>
    <w:p w14:paraId="7F9901C5">
      <w:pPr>
        <w:pStyle w:val="4"/>
        <w:spacing w:before="120" w:after="60" w:line="276" w:lineRule="auto"/>
      </w:pPr>
      <w:r>
        <w:rPr>
          <w:rFonts w:ascii="Arial" w:hAnsi="Arial" w:eastAsia="黑体"/>
          <w:b/>
          <w:color w:val="17375E"/>
          <w:sz w:val="22"/>
        </w:rPr>
        <w:t>2.2 分层架构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3"/>
      </w:tblGrid>
      <w:tr w14:paraId="4D2EA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3" w:type="dxa"/>
            <w:shd w:val="clear" w:color="auto" w:fill="EAF2FB"/>
          </w:tcPr>
          <w:p w14:paraId="0E850485">
            <w:pPr>
              <w:spacing w:before="20" w:after="0" w:line="240" w:lineRule="auto"/>
            </w:pPr>
            <w:r>
              <w:rPr>
                <w:rFonts w:ascii="Arial" w:hAnsi="Arial" w:eastAsia="黑体"/>
                <w:b/>
                <w:color w:val="17375E"/>
                <w:sz w:val="19"/>
              </w:rPr>
              <w:t>① 交互层　</w:t>
            </w:r>
          </w:p>
          <w:p w14:paraId="403BF7BA"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自然语言提问　·　快捷指令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 xml:space="preserve">   </w:t>
            </w:r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·　追问建议与反馈</w:t>
            </w:r>
          </w:p>
        </w:tc>
      </w:tr>
      <w:tr w14:paraId="25D9D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3" w:type="dxa"/>
            <w:shd w:val="clear" w:color="auto" w:fill="EAF2FB"/>
          </w:tcPr>
          <w:p w14:paraId="3400E201">
            <w:pPr>
              <w:spacing w:before="20" w:after="0" w:line="240" w:lineRule="auto"/>
            </w:pPr>
            <w:r>
              <w:rPr>
                <w:rFonts w:ascii="Arial" w:hAnsi="Arial" w:eastAsia="黑体"/>
                <w:b/>
                <w:color w:val="17375E"/>
                <w:sz w:val="19"/>
              </w:rPr>
              <w:t>② 插件层　</w:t>
            </w:r>
          </w:p>
          <w:p w14:paraId="680102D6"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工具注册　·　命令注册　·　Skill 目录　·　插件配置　·　会话上下文与学生画像</w:t>
            </w:r>
          </w:p>
        </w:tc>
      </w:tr>
      <w:tr w14:paraId="65213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3" w:type="dxa"/>
            <w:shd w:val="clear" w:color="auto" w:fill="EAF2FB"/>
          </w:tcPr>
          <w:p w14:paraId="18E804B7">
            <w:pPr>
              <w:spacing w:before="20" w:after="0" w:line="240" w:lineRule="auto"/>
            </w:pPr>
            <w:r>
              <w:rPr>
                <w:rFonts w:ascii="Arial" w:hAnsi="Arial" w:eastAsia="黑体"/>
                <w:b/>
                <w:color w:val="17375E"/>
                <w:sz w:val="19"/>
              </w:rPr>
              <w:t>③ 技能层　</w:t>
            </w:r>
          </w:p>
          <w:p w14:paraId="06053865"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培养方案解读 · 课程查询 · 教师画像 · 学分核算 · 选课规划 · 规则解释 · 通知问答 · 转人工指引</w:t>
            </w:r>
          </w:p>
        </w:tc>
      </w:tr>
      <w:tr w14:paraId="024E7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3" w:type="dxa"/>
            <w:shd w:val="clear" w:color="auto" w:fill="EAF2FB"/>
          </w:tcPr>
          <w:p w14:paraId="118802EA">
            <w:pPr>
              <w:spacing w:before="20" w:after="0" w:line="240" w:lineRule="auto"/>
            </w:pPr>
            <w:r>
              <w:rPr>
                <w:rFonts w:ascii="Arial" w:hAnsi="Arial" w:eastAsia="黑体"/>
                <w:b/>
                <w:color w:val="17375E"/>
                <w:sz w:val="19"/>
              </w:rPr>
              <w:t>④ 检索层　</w:t>
            </w:r>
          </w:p>
          <w:p w14:paraId="72042470"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查询理解与路由 → 结构化 / 向量 / 混合检索 → 重排与去重 → 上下文组装（带引用元数据）→ 结果校验</w:t>
            </w:r>
          </w:p>
        </w:tc>
      </w:tr>
      <w:tr w14:paraId="5E029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3" w:type="dxa"/>
            <w:shd w:val="clear" w:color="auto" w:fill="EAF7EE"/>
          </w:tcPr>
          <w:p w14:paraId="040A3273">
            <w:pPr>
              <w:spacing w:before="20" w:after="0" w:line="240" w:lineRule="auto"/>
            </w:pPr>
            <w:r>
              <w:rPr>
                <w:rFonts w:ascii="Arial" w:hAnsi="Arial" w:eastAsia="黑体"/>
                <w:b/>
                <w:color w:val="17375E"/>
                <w:sz w:val="19"/>
              </w:rPr>
              <w:t>⑤ 模型层与数据层</w:t>
            </w:r>
          </w:p>
          <w:p w14:paraId="39C4081F"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LLM API（理解与生成）　｜　关系库（方案/课程/教师/规则</w:t>
            </w:r>
            <w:r>
              <w:rPr>
                <w:rFonts w:hint="eastAsia"/>
                <w:b w:val="0"/>
                <w:color w:val="222222"/>
                <w:sz w:val="17"/>
                <w:lang w:eastAsia="zh-CN"/>
              </w:rPr>
              <w:t>）</w:t>
            </w:r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 xml:space="preserve"> · 原始文件库 · 日志与反馈库</w:t>
            </w:r>
          </w:p>
        </w:tc>
      </w:tr>
    </w:tbl>
    <w:p w14:paraId="5817664F">
      <w:pPr>
        <w:pStyle w:val="4"/>
        <w:spacing w:before="120" w:after="60" w:line="276" w:lineRule="auto"/>
      </w:pPr>
      <w:r>
        <w:rPr>
          <w:rFonts w:ascii="Arial" w:hAnsi="Arial" w:eastAsia="黑体"/>
          <w:b/>
          <w:color w:val="17375E"/>
          <w:sz w:val="22"/>
        </w:rPr>
        <w:t>2.3 一次问答的链路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6270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5F8FC"/>
          </w:tcPr>
          <w:p w14:paraId="3BCF7050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 xml:space="preserve">提问 → 注入学生画像 → 意图识别 → 重排去重 → 组装提示词 → 模型生成 → </w:t>
            </w:r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输出校验</w:t>
            </w:r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 xml:space="preserve"> → 返回答案 + 来源卡片 </w:t>
            </w:r>
          </w:p>
        </w:tc>
      </w:tr>
    </w:tbl>
    <w:p w14:paraId="27391F1F">
      <w:pPr>
        <w:spacing w:after="80" w:line="307" w:lineRule="auto"/>
        <w:rPr>
          <w:rFonts w:ascii="Times New Roman" w:hAnsi="Times New Roman" w:eastAsia="宋体"/>
          <w:b w:val="0"/>
          <w:color w:val="222222"/>
          <w:sz w:val="19"/>
        </w:rPr>
      </w:pPr>
      <w:r>
        <w:rPr>
          <w:rFonts w:ascii="Times New Roman" w:hAnsi="Times New Roman" w:eastAsia="宋体"/>
          <w:b/>
          <w:color w:val="222222"/>
          <w:sz w:val="19"/>
        </w:rPr>
        <w:t>关键差异点</w:t>
      </w:r>
      <w:r>
        <w:rPr>
          <w:rFonts w:ascii="Times New Roman" w:hAnsi="Times New Roman" w:eastAsia="宋体"/>
          <w:b w:val="0"/>
          <w:color w:val="222222"/>
          <w:sz w:val="19"/>
        </w:rPr>
        <w:t>：“输出校验”一步会程序化复核引用编号的真实性与学分等数字的一致性。教务场景里，</w:t>
      </w:r>
      <w:r>
        <w:rPr>
          <w:rFonts w:ascii="Times New Roman" w:hAnsi="Times New Roman" w:eastAsia="宋体"/>
          <w:b/>
          <w:color w:val="222222"/>
          <w:sz w:val="19"/>
        </w:rPr>
        <w:t>一个错误的学分数字比一句“我不确定”危害大得多</w:t>
      </w:r>
      <w:r>
        <w:rPr>
          <w:rFonts w:ascii="Times New Roman" w:hAnsi="Times New Roman" w:eastAsia="宋体"/>
          <w:b w:val="0"/>
          <w:color w:val="222222"/>
          <w:sz w:val="19"/>
        </w:rPr>
        <w:t>。</w:t>
      </w:r>
    </w:p>
    <w:p w14:paraId="30F4B0B1">
      <w:pPr>
        <w:spacing w:after="80" w:line="307" w:lineRule="auto"/>
        <w:rPr>
          <w:rFonts w:ascii="Times New Roman" w:hAnsi="Times New Roman" w:eastAsia="宋体"/>
          <w:b w:val="0"/>
          <w:color w:val="222222"/>
          <w:sz w:val="19"/>
        </w:rPr>
      </w:pPr>
    </w:p>
    <w:p w14:paraId="09E75045">
      <w:pPr>
        <w:spacing w:after="80" w:line="307" w:lineRule="auto"/>
        <w:rPr>
          <w:rFonts w:ascii="Times New Roman" w:hAnsi="Times New Roman" w:eastAsia="宋体"/>
          <w:b w:val="0"/>
          <w:color w:val="222222"/>
          <w:sz w:val="19"/>
        </w:rPr>
      </w:pPr>
    </w:p>
    <w:p w14:paraId="0D4D93D1">
      <w:pPr>
        <w:pStyle w:val="3"/>
        <w:spacing w:before="180" w:after="80" w:line="276" w:lineRule="auto"/>
      </w:pPr>
      <w:r>
        <w:rPr>
          <w:rFonts w:ascii="Arial" w:hAnsi="Arial" w:eastAsia="黑体"/>
          <w:b/>
          <w:color w:val="17375E"/>
          <w:sz w:val="27"/>
        </w:rPr>
        <w:t>三、数据层</w:t>
      </w:r>
    </w:p>
    <w:p w14:paraId="45EAAF0F">
      <w:pPr>
        <w:pStyle w:val="4"/>
        <w:spacing w:before="120" w:after="60" w:line="276" w:lineRule="auto"/>
      </w:pPr>
      <w:r>
        <w:rPr>
          <w:rFonts w:ascii="Arial" w:hAnsi="Arial" w:eastAsia="黑体"/>
          <w:b/>
          <w:color w:val="17375E"/>
          <w:sz w:val="22"/>
        </w:rPr>
        <w:t>3.1 数据来源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5255"/>
      </w:tblGrid>
      <w:tr w14:paraId="2F25D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17375E"/>
          </w:tcPr>
          <w:p w14:paraId="7EAA7AB7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w="5255" w:type="dxa"/>
            <w:shd w:val="clear" w:color="auto" w:fill="17375E"/>
          </w:tcPr>
          <w:p w14:paraId="58D43E22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内容</w:t>
            </w:r>
          </w:p>
        </w:tc>
      </w:tr>
      <w:tr w14:paraId="2BF89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</w:tcPr>
          <w:p w14:paraId="73E89AC7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培养方案</w:t>
            </w:r>
          </w:p>
        </w:tc>
        <w:tc>
          <w:tcPr>
            <w:tcW w:w="5255" w:type="dxa"/>
          </w:tcPr>
          <w:p w14:paraId="08AEDE5B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方案全文，含学分结构、课程设置表、修读说明</w:t>
            </w:r>
          </w:p>
        </w:tc>
      </w:tr>
      <w:tr w14:paraId="1B32A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F2F5F9"/>
          </w:tcPr>
          <w:p w14:paraId="50593240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课程库</w:t>
            </w:r>
          </w:p>
        </w:tc>
        <w:tc>
          <w:tcPr>
            <w:tcW w:w="5255" w:type="dxa"/>
            <w:shd w:val="clear" w:color="auto" w:fill="F2F5F9"/>
          </w:tcPr>
          <w:p w14:paraId="4B075AB7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课程代码、名称、学分、学时、性质、建议学期</w:t>
            </w:r>
          </w:p>
        </w:tc>
      </w:tr>
      <w:tr w14:paraId="46B19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</w:tcPr>
          <w:p w14:paraId="5B50E075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方案-课程关联</w:t>
            </w:r>
          </w:p>
        </w:tc>
        <w:tc>
          <w:tcPr>
            <w:tcW w:w="5255" w:type="dxa"/>
          </w:tcPr>
          <w:p w14:paraId="2EC878B6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模块归属、必修／限选／任选、建议修读学期</w:t>
            </w:r>
          </w:p>
        </w:tc>
      </w:tr>
      <w:tr w14:paraId="7BA8C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F2F5F9"/>
          </w:tcPr>
          <w:p w14:paraId="7AD999FE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先修关系</w:t>
            </w:r>
          </w:p>
        </w:tc>
        <w:tc>
          <w:tcPr>
            <w:tcW w:w="5255" w:type="dxa"/>
            <w:shd w:val="clear" w:color="auto" w:fill="F2F5F9"/>
          </w:tcPr>
          <w:p w14:paraId="7B4EE4E9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课程之间的先修、并修、互斥关系</w:t>
            </w:r>
          </w:p>
        </w:tc>
      </w:tr>
      <w:tr w14:paraId="78FF3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</w:tcPr>
          <w:p w14:paraId="2BDCE4CE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教师信息与授课记录</w:t>
            </w:r>
          </w:p>
        </w:tc>
        <w:tc>
          <w:tcPr>
            <w:tcW w:w="5255" w:type="dxa"/>
          </w:tcPr>
          <w:p w14:paraId="49AFDD43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公开信息 + 历年授课课程与学期</w:t>
            </w:r>
          </w:p>
        </w:tc>
      </w:tr>
      <w:tr w14:paraId="3C31F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shd w:val="clear" w:color="auto" w:fill="F2F5F9"/>
          </w:tcPr>
          <w:p w14:paraId="223B0319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教学大纲</w:t>
            </w:r>
          </w:p>
        </w:tc>
        <w:tc>
          <w:tcPr>
            <w:tcW w:w="5255" w:type="dxa"/>
            <w:shd w:val="clear" w:color="auto" w:fill="F2F5F9"/>
          </w:tcPr>
          <w:p w14:paraId="3050F4DC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课程目标、内容纲要、考核方式与成绩构成</w:t>
            </w:r>
          </w:p>
        </w:tc>
      </w:tr>
      <w:tr w14:paraId="20D2F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</w:tcPr>
          <w:p w14:paraId="3F1AA109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开课计划与课表</w:t>
            </w:r>
          </w:p>
        </w:tc>
        <w:tc>
          <w:tcPr>
            <w:tcW w:w="5255" w:type="dxa"/>
          </w:tcPr>
          <w:p w14:paraId="0690776A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时间、地点、容量、任课教师</w:t>
            </w:r>
          </w:p>
        </w:tc>
      </w:tr>
    </w:tbl>
    <w:p w14:paraId="09C7ED45">
      <w:pPr>
        <w:spacing w:before="0" w:after="0" w:line="240" w:lineRule="auto"/>
      </w:pPr>
    </w:p>
    <w:p w14:paraId="1B0E98F6">
      <w:pPr>
        <w:pStyle w:val="4"/>
        <w:spacing w:before="120" w:after="60" w:line="276" w:lineRule="auto"/>
      </w:pPr>
      <w:r>
        <w:rPr>
          <w:rFonts w:ascii="Arial" w:hAnsi="Arial" w:eastAsia="黑体"/>
          <w:b/>
          <w:color w:val="17375E"/>
          <w:sz w:val="22"/>
        </w:rPr>
        <w:t>3.2 数据处理流水线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0E5E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shd w:val="clear" w:color="auto" w:fill="F5F8FC"/>
          </w:tcPr>
          <w:p w14:paraId="3DA16F43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 xml:space="preserve">采集 → 解析（PDF／Word／Excel 转文本 + 表格还原）→ 清洗（去页眉页脚、合并跨页表）→ </w:t>
            </w:r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LLM 辅助结构化抽取 + 关键字段人工复核</w:t>
            </w:r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 xml:space="preserve"> → 入库 → 语义分块与向量化 → 版本冻结与灰度发布</w:t>
            </w:r>
          </w:p>
        </w:tc>
      </w:tr>
    </w:tbl>
    <w:p w14:paraId="2AF032B0">
      <w:pPr>
        <w:spacing w:after="80" w:line="307" w:lineRule="auto"/>
      </w:pPr>
      <w:r>
        <w:rPr>
          <w:rFonts w:ascii="Times New Roman" w:hAnsi="Times New Roman" w:eastAsia="宋体"/>
          <w:b w:val="0"/>
          <w:color w:val="222222"/>
          <w:sz w:val="19"/>
        </w:rPr>
        <w:t>风险最高的环节是结构化抽取：</w:t>
      </w:r>
      <w:r>
        <w:rPr>
          <w:rFonts w:ascii="Times New Roman" w:hAnsi="Times New Roman" w:eastAsia="宋体"/>
          <w:b/>
          <w:color w:val="222222"/>
          <w:sz w:val="19"/>
        </w:rPr>
        <w:t>学分、学时、课程性质一旦抽错，后续所有学分核算都是错的</w:t>
      </w:r>
      <w:r>
        <w:rPr>
          <w:rFonts w:ascii="Times New Roman" w:hAnsi="Times New Roman" w:eastAsia="宋体"/>
          <w:b w:val="0"/>
          <w:color w:val="222222"/>
          <w:sz w:val="19"/>
        </w:rPr>
        <w:t>，因此关键字段必须逐一复核，而不能只做抽样。</w:t>
      </w:r>
    </w:p>
    <w:p w14:paraId="52DBAB84">
      <w:pPr>
        <w:pStyle w:val="4"/>
        <w:spacing w:before="120" w:after="60" w:line="276" w:lineRule="auto"/>
      </w:pPr>
      <w:r>
        <w:rPr>
          <w:rFonts w:ascii="Arial" w:hAnsi="Arial" w:eastAsia="黑体"/>
          <w:b/>
          <w:color w:val="17375E"/>
          <w:sz w:val="22"/>
        </w:rPr>
        <w:t>3.3 核心表与知识库</w:t>
      </w:r>
    </w:p>
    <w:p w14:paraId="7F37F9AD">
      <w:pPr>
        <w:spacing w:after="80" w:line="307" w:lineRule="auto"/>
      </w:pPr>
      <w:r>
        <w:rPr>
          <w:rFonts w:ascii="Times New Roman" w:hAnsi="Times New Roman" w:eastAsia="宋体"/>
          <w:b w:val="0"/>
          <w:color w:val="222222"/>
          <w:sz w:val="19"/>
        </w:rPr>
        <w:t>核心表包括专业与方案版本、课程主数据、方案-课程关联、模块学分要求、先修关系、开课记录、教师与授课历史、考核方式、规则条款、文档分块以及问答日志。</w:t>
      </w:r>
    </w:p>
    <w:p w14:paraId="052768D0">
      <w:pPr>
        <w:pStyle w:val="3"/>
        <w:spacing w:before="180" w:after="80" w:line="276" w:lineRule="auto"/>
      </w:pPr>
      <w:r>
        <w:rPr>
          <w:rFonts w:ascii="Arial" w:hAnsi="Arial" w:eastAsia="黑体"/>
          <w:b/>
          <w:color w:val="17375E"/>
          <w:sz w:val="27"/>
        </w:rPr>
        <w:t>四、生成</w:t>
      </w:r>
    </w:p>
    <w:p w14:paraId="4508E8FF">
      <w:pPr>
        <w:pStyle w:val="4"/>
        <w:spacing w:before="120" w:after="60" w:line="276" w:lineRule="auto"/>
      </w:pPr>
      <w:r>
        <w:rPr>
          <w:rFonts w:ascii="Arial" w:hAnsi="Arial" w:eastAsia="黑体"/>
          <w:b/>
          <w:color w:val="17375E"/>
          <w:sz w:val="22"/>
        </w:rPr>
        <w:t>4.1 意图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4412"/>
        <w:gridCol w:w="3832"/>
      </w:tblGrid>
      <w:tr w14:paraId="3CDF0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3" w:type="dxa"/>
            <w:shd w:val="clear" w:color="auto" w:fill="17375E"/>
          </w:tcPr>
          <w:p w14:paraId="0FA61F8C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意图类型</w:t>
            </w:r>
          </w:p>
        </w:tc>
        <w:tc>
          <w:tcPr>
            <w:tcW w:w="4412" w:type="dxa"/>
            <w:shd w:val="clear" w:color="auto" w:fill="17375E"/>
          </w:tcPr>
          <w:p w14:paraId="0B8C9AF4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示例问题</w:t>
            </w:r>
          </w:p>
        </w:tc>
        <w:tc>
          <w:tcPr>
            <w:tcW w:w="3832" w:type="dxa"/>
            <w:shd w:val="clear" w:color="auto" w:fill="17375E"/>
          </w:tcPr>
          <w:p w14:paraId="6B22296E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检索通道</w:t>
            </w:r>
          </w:p>
        </w:tc>
      </w:tr>
      <w:tr w14:paraId="00BC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3" w:type="dxa"/>
          </w:tcPr>
          <w:p w14:paraId="384DA07A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事实查询</w:t>
            </w:r>
          </w:p>
        </w:tc>
        <w:tc>
          <w:tcPr>
            <w:tcW w:w="4412" w:type="dxa"/>
          </w:tcPr>
          <w:p w14:paraId="162C0372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数据结构这门课多少学分？</w:t>
            </w:r>
          </w:p>
        </w:tc>
        <w:tc>
          <w:tcPr>
            <w:tcW w:w="3832" w:type="dxa"/>
          </w:tcPr>
          <w:p w14:paraId="781FBBAF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关系库精确查询</w:t>
            </w:r>
          </w:p>
        </w:tc>
      </w:tr>
      <w:tr w14:paraId="31C40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3" w:type="dxa"/>
            <w:shd w:val="clear" w:color="auto" w:fill="F2F5F9"/>
          </w:tcPr>
          <w:p w14:paraId="3D68BDF9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关系查询</w:t>
            </w:r>
          </w:p>
        </w:tc>
        <w:tc>
          <w:tcPr>
            <w:tcW w:w="4412" w:type="dxa"/>
            <w:shd w:val="clear" w:color="auto" w:fill="F2F5F9"/>
          </w:tcPr>
          <w:p w14:paraId="46010491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学人工智能导论之前要先修什么？</w:t>
            </w:r>
          </w:p>
        </w:tc>
        <w:tc>
          <w:tcPr>
            <w:tcW w:w="3832" w:type="dxa"/>
            <w:shd w:val="clear" w:color="auto" w:fill="F2F5F9"/>
          </w:tcPr>
          <w:p w14:paraId="6783F9DD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先修关系表</w:t>
            </w:r>
          </w:p>
        </w:tc>
      </w:tr>
      <w:tr w14:paraId="0201D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3" w:type="dxa"/>
          </w:tcPr>
          <w:p w14:paraId="32C22442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规则解释</w:t>
            </w:r>
          </w:p>
        </w:tc>
        <w:tc>
          <w:tcPr>
            <w:tcW w:w="4412" w:type="dxa"/>
          </w:tcPr>
          <w:p w14:paraId="4B3AC2F0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培养方案里的“专业方向课组”是什么意思？</w:t>
            </w:r>
          </w:p>
        </w:tc>
        <w:tc>
          <w:tcPr>
            <w:tcW w:w="3832" w:type="dxa"/>
          </w:tcPr>
          <w:p w14:paraId="7D8780D3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文档检索</w:t>
            </w:r>
          </w:p>
        </w:tc>
      </w:tr>
      <w:tr w14:paraId="1BE4F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3" w:type="dxa"/>
            <w:shd w:val="clear" w:color="auto" w:fill="F2F5F9"/>
          </w:tcPr>
          <w:p w14:paraId="666A01A0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核算类</w:t>
            </w:r>
          </w:p>
        </w:tc>
        <w:tc>
          <w:tcPr>
            <w:tcW w:w="4412" w:type="dxa"/>
            <w:shd w:val="clear" w:color="auto" w:fill="F2F5F9"/>
          </w:tcPr>
          <w:p w14:paraId="5AD64FD7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我现在还差多少学分才能毕业？</w:t>
            </w:r>
          </w:p>
        </w:tc>
        <w:tc>
          <w:tcPr>
            <w:tcW w:w="3832" w:type="dxa"/>
            <w:shd w:val="clear" w:color="auto" w:fill="F2F5F9"/>
          </w:tcPr>
          <w:p w14:paraId="6D11E818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关系库计算</w:t>
            </w:r>
          </w:p>
        </w:tc>
      </w:tr>
      <w:tr w14:paraId="6E20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3" w:type="dxa"/>
          </w:tcPr>
          <w:p w14:paraId="07E4D7C2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冲突判断</w:t>
            </w:r>
          </w:p>
        </w:tc>
        <w:tc>
          <w:tcPr>
            <w:tcW w:w="4412" w:type="dxa"/>
          </w:tcPr>
          <w:p w14:paraId="39E1B6D3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选这门课会不会和必修课撞时间？</w:t>
            </w:r>
          </w:p>
        </w:tc>
        <w:tc>
          <w:tcPr>
            <w:tcW w:w="3832" w:type="dxa"/>
          </w:tcPr>
          <w:p w14:paraId="5CECEA7D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开课时间比对</w:t>
            </w:r>
          </w:p>
        </w:tc>
      </w:tr>
    </w:tbl>
    <w:p w14:paraId="662E4C90">
      <w:pPr>
        <w:pStyle w:val="4"/>
        <w:spacing w:before="120" w:after="60" w:line="276" w:lineRule="auto"/>
      </w:pPr>
      <w:r>
        <w:rPr>
          <w:rFonts w:ascii="Arial" w:hAnsi="Arial" w:eastAsia="黑体"/>
          <w:b/>
          <w:color w:val="17375E"/>
          <w:sz w:val="22"/>
        </w:rPr>
        <w:t>4.2 生成约束</w:t>
      </w:r>
    </w:p>
    <w:p w14:paraId="61A0B148">
      <w:pPr>
        <w:pStyle w:val="16"/>
        <w:numPr>
          <w:ilvl w:val="0"/>
          <w:numId w:val="0"/>
        </w:numPr>
        <w:spacing w:after="40" w:line="307" w:lineRule="auto"/>
        <w:ind w:left="-48" w:leftChars="0"/>
      </w:pPr>
      <w:r>
        <w:rPr>
          <w:rFonts w:hint="eastAsia"/>
          <w:b/>
          <w:color w:val="222222"/>
          <w:sz w:val="19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19"/>
        </w:rPr>
        <w:t>只依据证据包作答</w:t>
      </w:r>
      <w:r>
        <w:rPr>
          <w:rFonts w:ascii="Times New Roman" w:hAnsi="Times New Roman" w:eastAsia="宋体"/>
          <w:b w:val="0"/>
          <w:color w:val="222222"/>
          <w:sz w:val="19"/>
        </w:rPr>
        <w:t>：证据不足时明确说明“现有资料中未找到相关说明”，检索分数低于阈值时直接走拒答与转人工，不兜底编造。</w:t>
      </w:r>
    </w:p>
    <w:p w14:paraId="26138116">
      <w:pPr>
        <w:pStyle w:val="16"/>
        <w:numPr>
          <w:ilvl w:val="0"/>
          <w:numId w:val="0"/>
        </w:numPr>
        <w:spacing w:after="40" w:line="307" w:lineRule="auto"/>
        <w:ind w:left="-48" w:leftChars="0"/>
      </w:pPr>
      <w:r>
        <w:rPr>
          <w:rFonts w:hint="eastAsia"/>
          <w:b/>
          <w:color w:val="222222"/>
          <w:sz w:val="19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19"/>
        </w:rPr>
        <w:t>引用强制</w:t>
      </w:r>
      <w:r>
        <w:rPr>
          <w:rFonts w:ascii="Times New Roman" w:hAnsi="Times New Roman" w:eastAsia="宋体"/>
          <w:b w:val="0"/>
          <w:color w:val="222222"/>
          <w:sz w:val="19"/>
        </w:rPr>
        <w:t>：每条事实性结论标注引用编号，生成后程序化校验编号真实存在，无效引用触发重新生成。</w:t>
      </w:r>
    </w:p>
    <w:p w14:paraId="35077B58">
      <w:pPr>
        <w:pStyle w:val="16"/>
        <w:numPr>
          <w:ilvl w:val="0"/>
          <w:numId w:val="0"/>
        </w:numPr>
        <w:spacing w:after="40" w:line="307" w:lineRule="auto"/>
        <w:ind w:left="-48" w:leftChars="0"/>
      </w:pPr>
      <w:r>
        <w:rPr>
          <w:rFonts w:hint="eastAsia"/>
          <w:b/>
          <w:color w:val="222222"/>
          <w:sz w:val="19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19"/>
        </w:rPr>
        <w:t>数字复核</w:t>
      </w:r>
      <w:r>
        <w:rPr>
          <w:rFonts w:ascii="Times New Roman" w:hAnsi="Times New Roman" w:eastAsia="宋体"/>
          <w:b w:val="0"/>
          <w:color w:val="222222"/>
          <w:sz w:val="19"/>
        </w:rPr>
        <w:t>：学分、学时、门数等必须与查表结果逐字一致，不一致则替换为重查结果。</w:t>
      </w:r>
    </w:p>
    <w:p w14:paraId="411672DD">
      <w:pPr>
        <w:pStyle w:val="16"/>
        <w:numPr>
          <w:ilvl w:val="0"/>
          <w:numId w:val="0"/>
        </w:numPr>
        <w:spacing w:after="40" w:line="307" w:lineRule="auto"/>
        <w:ind w:left="-48" w:leftChars="0"/>
        <w:rPr>
          <w:rFonts w:ascii="Times New Roman" w:hAnsi="Times New Roman" w:eastAsia="宋体"/>
          <w:b w:val="0"/>
          <w:color w:val="222222"/>
          <w:sz w:val="19"/>
        </w:rPr>
      </w:pPr>
      <w:r>
        <w:rPr>
          <w:rFonts w:hint="eastAsia"/>
          <w:b/>
          <w:color w:val="222222"/>
          <w:sz w:val="19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19"/>
        </w:rPr>
        <w:t>表达风格</w:t>
      </w:r>
      <w:r>
        <w:rPr>
          <w:rFonts w:ascii="Times New Roman" w:hAnsi="Times New Roman" w:eastAsia="宋体"/>
          <w:b w:val="0"/>
          <w:color w:val="222222"/>
          <w:sz w:val="19"/>
        </w:rPr>
        <w:t>：面向新生，先给结论再给依据，少用术语，长答案分点呈现，并注明所依据的方案版本。</w:t>
      </w:r>
    </w:p>
    <w:p w14:paraId="353EB35C">
      <w:pPr>
        <w:pStyle w:val="3"/>
        <w:spacing w:before="180" w:after="80" w:line="276" w:lineRule="auto"/>
      </w:pPr>
      <w:r>
        <w:rPr>
          <w:rFonts w:ascii="Arial" w:hAnsi="Arial" w:eastAsia="黑体"/>
          <w:b/>
          <w:color w:val="17375E"/>
          <w:sz w:val="27"/>
        </w:rPr>
        <w:t>五、专属 Skill 与 DSH 插件</w:t>
      </w:r>
    </w:p>
    <w:p w14:paraId="0EC05901">
      <w:pPr>
        <w:pStyle w:val="4"/>
        <w:spacing w:before="120" w:after="60" w:line="276" w:lineRule="auto"/>
      </w:pPr>
      <w:r>
        <w:rPr>
          <w:rFonts w:ascii="Arial" w:hAnsi="Arial" w:eastAsia="黑体"/>
          <w:b/>
          <w:color w:val="17375E"/>
          <w:sz w:val="22"/>
        </w:rPr>
        <w:t>5.1 Skill 清单与定位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3"/>
        <w:gridCol w:w="6735"/>
      </w:tblGrid>
      <w:tr w14:paraId="2CBF6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3" w:type="dxa"/>
            <w:shd w:val="clear" w:color="auto" w:fill="17375E"/>
          </w:tcPr>
          <w:p w14:paraId="259226A5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Skill</w:t>
            </w:r>
          </w:p>
        </w:tc>
        <w:tc>
          <w:tcPr>
            <w:tcW w:w="6735" w:type="dxa"/>
            <w:shd w:val="clear" w:color="auto" w:fill="17375E"/>
          </w:tcPr>
          <w:p w14:paraId="7E533A2F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解决问题</w:t>
            </w:r>
          </w:p>
        </w:tc>
      </w:tr>
      <w:tr w14:paraId="76FA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3" w:type="dxa"/>
          </w:tcPr>
          <w:p w14:paraId="7C31BFBE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培养方案解读 / 课程信息查询</w:t>
            </w:r>
          </w:p>
        </w:tc>
        <w:tc>
          <w:tcPr>
            <w:tcW w:w="6735" w:type="dxa"/>
          </w:tcPr>
          <w:p w14:paraId="6D30C636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方案怎么读、学分结构是什么；某门课多少学分、何时开、谁在上</w:t>
            </w:r>
          </w:p>
        </w:tc>
      </w:tr>
      <w:tr w14:paraId="72DD4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3" w:type="dxa"/>
            <w:shd w:val="clear" w:color="auto" w:fill="F2F5F9"/>
          </w:tcPr>
          <w:p w14:paraId="28AD6BAB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教师与课程画像</w:t>
            </w:r>
          </w:p>
        </w:tc>
        <w:tc>
          <w:tcPr>
            <w:tcW w:w="6735" w:type="dxa"/>
            <w:shd w:val="clear" w:color="auto" w:fill="F2F5F9"/>
          </w:tcPr>
          <w:p w14:paraId="61BE3400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教师公开信息、研究方向、授课历史、课程考核方式</w:t>
            </w:r>
          </w:p>
        </w:tc>
      </w:tr>
      <w:tr w14:paraId="78F2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3" w:type="dxa"/>
          </w:tcPr>
          <w:p w14:paraId="1725D509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学分与毕业要求核算</w:t>
            </w:r>
          </w:p>
        </w:tc>
        <w:tc>
          <w:tcPr>
            <w:tcW w:w="6735" w:type="dxa"/>
          </w:tcPr>
          <w:p w14:paraId="7DCD5DEF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已修多少、还差多少、哪个模块不达标</w:t>
            </w:r>
          </w:p>
        </w:tc>
      </w:tr>
      <w:tr w14:paraId="2C09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3" w:type="dxa"/>
            <w:shd w:val="clear" w:color="auto" w:fill="F2F5F9"/>
          </w:tcPr>
          <w:p w14:paraId="5CA1A773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选课规划建议</w:t>
            </w:r>
          </w:p>
        </w:tc>
        <w:tc>
          <w:tcPr>
            <w:tcW w:w="6735" w:type="dxa"/>
            <w:shd w:val="clear" w:color="auto" w:fill="F2F5F9"/>
          </w:tcPr>
          <w:p w14:paraId="47AAF3FE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下学期建议选什么、先修顺序怎么排、有无冲突风险</w:t>
            </w:r>
          </w:p>
        </w:tc>
      </w:tr>
      <w:tr w14:paraId="453F2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3" w:type="dxa"/>
          </w:tcPr>
          <w:p w14:paraId="2B3100AC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规则条款解释 / 通知问答</w:t>
            </w:r>
          </w:p>
        </w:tc>
        <w:tc>
          <w:tcPr>
            <w:tcW w:w="6735" w:type="dxa"/>
          </w:tcPr>
          <w:p w14:paraId="0972F23E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选课规则、重修免修怎么规定；最新通知说了什么</w:t>
            </w:r>
          </w:p>
        </w:tc>
      </w:tr>
    </w:tbl>
    <w:p w14:paraId="3400BF2E">
      <w:pPr>
        <w:spacing w:before="0" w:after="0" w:line="240" w:lineRule="auto"/>
      </w:pPr>
    </w:p>
    <w:p w14:paraId="35EC7D24">
      <w:pPr>
        <w:spacing w:after="80" w:line="307" w:lineRule="auto"/>
      </w:pPr>
      <w:r>
        <w:rPr>
          <w:rFonts w:ascii="Times New Roman" w:hAnsi="Times New Roman" w:eastAsia="宋体"/>
          <w:b/>
          <w:color w:val="222222"/>
          <w:sz w:val="19"/>
        </w:rPr>
        <w:t>工具与 Skill 的分工</w:t>
      </w:r>
      <w:r>
        <w:rPr>
          <w:rFonts w:ascii="Times New Roman" w:hAnsi="Times New Roman" w:eastAsia="宋体"/>
          <w:b w:val="0"/>
          <w:color w:val="222222"/>
          <w:sz w:val="19"/>
        </w:rPr>
        <w:t>：工具回答“能做什么”（查课程、检索文档、算学分），Skill 回答“该怎么做”（先调哪个工具、要不要追问、用什么关键词检索、输出成什么格式、何时拒答）。</w:t>
      </w:r>
    </w:p>
    <w:p w14:paraId="6DF19E91">
      <w:pPr>
        <w:pStyle w:val="4"/>
        <w:spacing w:before="120" w:after="60" w:line="276" w:lineRule="auto"/>
      </w:pPr>
      <w:r>
        <w:rPr>
          <w:rFonts w:ascii="Arial" w:hAnsi="Arial" w:eastAsia="黑体"/>
          <w:b/>
          <w:color w:val="17375E"/>
          <w:sz w:val="22"/>
        </w:rPr>
        <w:t>5.2 插件提供的能力与集成</w:t>
      </w:r>
    </w:p>
    <w:p w14:paraId="0B820DE7">
      <w:pPr>
        <w:pStyle w:val="16"/>
        <w:numPr>
          <w:ilvl w:val="0"/>
          <w:numId w:val="0"/>
        </w:numPr>
        <w:spacing w:after="40" w:line="307" w:lineRule="auto"/>
        <w:ind w:left="-48" w:leftChars="0"/>
      </w:pPr>
      <w:r>
        <w:rPr>
          <w:rFonts w:hint="eastAsia"/>
          <w:b/>
          <w:color w:val="222222"/>
          <w:sz w:val="19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19"/>
        </w:rPr>
        <w:t>工具与命令注册</w:t>
      </w:r>
      <w:r>
        <w:rPr>
          <w:rFonts w:ascii="Times New Roman" w:hAnsi="Times New Roman" w:eastAsia="宋体"/>
          <w:b w:val="0"/>
          <w:color w:val="222222"/>
          <w:sz w:val="19"/>
        </w:rPr>
        <w:t>：课程、教师、方案、条款查询，文档语义检索，学分核算与冲突查询；并提供 /选课问答、/课程、/教师、/学分等快捷入口，降低新生使用门槛。</w:t>
      </w:r>
    </w:p>
    <w:p w14:paraId="045361A8">
      <w:pPr>
        <w:pStyle w:val="16"/>
        <w:numPr>
          <w:ilvl w:val="0"/>
          <w:numId w:val="0"/>
        </w:numPr>
        <w:spacing w:after="40" w:line="307" w:lineRule="auto"/>
        <w:ind w:left="-48" w:leftChars="0"/>
      </w:pPr>
      <w:r>
        <w:rPr>
          <w:rFonts w:hint="eastAsia"/>
          <w:b/>
          <w:color w:val="222222"/>
          <w:sz w:val="19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19"/>
        </w:rPr>
        <w:t>配置与密钥</w:t>
      </w:r>
      <w:r>
        <w:rPr>
          <w:rFonts w:ascii="Times New Roman" w:hAnsi="Times New Roman" w:eastAsia="宋体"/>
          <w:b w:val="0"/>
          <w:color w:val="222222"/>
          <w:sz w:val="19"/>
        </w:rPr>
        <w:t>：数据库、向量库、模型 API、数据版本、调用限额统一在插件配置中管理；密钥走配置或环境变量，不硬编码。</w:t>
      </w:r>
    </w:p>
    <w:p w14:paraId="3377A2C3">
      <w:pPr>
        <w:pStyle w:val="16"/>
        <w:numPr>
          <w:ilvl w:val="0"/>
          <w:numId w:val="0"/>
        </w:numPr>
        <w:spacing w:after="40" w:line="307" w:lineRule="auto"/>
        <w:ind w:left="-48" w:leftChars="0"/>
      </w:pPr>
      <w:r>
        <w:rPr>
          <w:rFonts w:hint="eastAsia"/>
          <w:b/>
          <w:color w:val="222222"/>
          <w:sz w:val="19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19"/>
        </w:rPr>
        <w:t>界面卡片</w:t>
      </w:r>
      <w:r>
        <w:rPr>
          <w:rFonts w:ascii="Times New Roman" w:hAnsi="Times New Roman" w:eastAsia="宋体"/>
          <w:b w:val="0"/>
          <w:color w:val="222222"/>
          <w:sz w:val="19"/>
        </w:rPr>
        <w:t>：课程卡、教师卡、来源引用、学分进度视图、追问建议，让结构化信息比纯文本更易读。</w:t>
      </w:r>
    </w:p>
    <w:p w14:paraId="3E4B78EB">
      <w:pPr>
        <w:pStyle w:val="16"/>
        <w:numPr>
          <w:ilvl w:val="0"/>
          <w:numId w:val="0"/>
        </w:numPr>
        <w:spacing w:after="40" w:line="307" w:lineRule="auto"/>
        <w:ind w:left="-48" w:leftChars="0"/>
      </w:pPr>
      <w:r>
        <w:rPr>
          <w:rFonts w:hint="eastAsia"/>
          <w:b/>
          <w:color w:val="222222"/>
          <w:sz w:val="19"/>
          <w:lang w:val="en-US" w:eastAsia="zh-CN"/>
        </w:rPr>
        <w:tab/>
      </w:r>
      <w:r>
        <w:rPr>
          <w:rFonts w:ascii="Times New Roman" w:hAnsi="Times New Roman" w:eastAsia="宋体"/>
          <w:b/>
          <w:color w:val="222222"/>
          <w:sz w:val="19"/>
        </w:rPr>
        <w:t>会话画像</w:t>
      </w:r>
      <w:r>
        <w:rPr>
          <w:rFonts w:ascii="Times New Roman" w:hAnsi="Times New Roman" w:eastAsia="宋体"/>
          <w:b w:val="0"/>
          <w:color w:val="222222"/>
          <w:sz w:val="19"/>
        </w:rPr>
        <w:t>：首启动引导选择专业与年级，可补充已修课程，此后所有回答自动带入画像。</w:t>
      </w:r>
    </w:p>
    <w:p w14:paraId="53E2F5A5">
      <w:pPr>
        <w:pStyle w:val="3"/>
        <w:spacing w:before="180" w:after="80" w:line="276" w:lineRule="auto"/>
      </w:pPr>
      <w:r>
        <w:rPr>
          <w:rFonts w:ascii="Arial" w:hAnsi="Arial" w:eastAsia="黑体"/>
          <w:b/>
          <w:color w:val="17375E"/>
          <w:sz w:val="27"/>
        </w:rPr>
        <w:t>六、实施计划与风险</w:t>
      </w:r>
    </w:p>
    <w:p w14:paraId="0F9395B2">
      <w:pPr>
        <w:pStyle w:val="4"/>
        <w:spacing w:before="120" w:after="60" w:line="276" w:lineRule="auto"/>
      </w:pPr>
      <w:r>
        <w:rPr>
          <w:rFonts w:ascii="Arial" w:hAnsi="Arial" w:eastAsia="黑体"/>
          <w:b/>
          <w:color w:val="17375E"/>
          <w:sz w:val="22"/>
        </w:rPr>
        <w:t>6.1 分阶段实施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4296"/>
        <w:gridCol w:w="2734"/>
      </w:tblGrid>
      <w:tr w14:paraId="6D402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shd w:val="clear" w:color="auto" w:fill="17375E"/>
          </w:tcPr>
          <w:p w14:paraId="42F1CA24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w="4296" w:type="dxa"/>
            <w:shd w:val="clear" w:color="auto" w:fill="17375E"/>
          </w:tcPr>
          <w:p w14:paraId="5522E6FE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主要任务</w:t>
            </w:r>
          </w:p>
        </w:tc>
        <w:tc>
          <w:tcPr>
            <w:tcW w:w="2734" w:type="dxa"/>
            <w:shd w:val="clear" w:color="auto" w:fill="17375E"/>
          </w:tcPr>
          <w:p w14:paraId="2B3803F0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交付物</w:t>
            </w:r>
          </w:p>
        </w:tc>
      </w:tr>
      <w:tr w14:paraId="63E0F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</w:tcPr>
          <w:p w14:paraId="71BB8658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一、需求与数据摸底</w:t>
            </w:r>
          </w:p>
        </w:tc>
        <w:tc>
          <w:tcPr>
            <w:tcW w:w="4296" w:type="dxa"/>
          </w:tcPr>
          <w:p w14:paraId="5E8F0770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确定专业与年级范围、盘点数据与授权</w:t>
            </w:r>
          </w:p>
        </w:tc>
        <w:tc>
          <w:tcPr>
            <w:tcW w:w="2734" w:type="dxa"/>
          </w:tcPr>
          <w:p w14:paraId="56702B86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需求与数据清单</w:t>
            </w:r>
          </w:p>
        </w:tc>
      </w:tr>
      <w:tr w14:paraId="55692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shd w:val="clear" w:color="auto" w:fill="F2F5F9"/>
          </w:tcPr>
          <w:p w14:paraId="23E47FA7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二、库落地</w:t>
            </w:r>
          </w:p>
        </w:tc>
        <w:tc>
          <w:tcPr>
            <w:tcW w:w="4296" w:type="dxa"/>
            <w:shd w:val="clear" w:color="auto" w:fill="F2F5F9"/>
          </w:tcPr>
          <w:p w14:paraId="26F3CF8F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解析清洗、结构化抽取与人工校验、数据入库</w:t>
            </w:r>
          </w:p>
        </w:tc>
        <w:tc>
          <w:tcPr>
            <w:tcW w:w="2734" w:type="dxa"/>
            <w:shd w:val="clear" w:color="auto" w:fill="F2F5F9"/>
          </w:tcPr>
          <w:p w14:paraId="3B4592C4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结构化数据库</w:t>
            </w:r>
          </w:p>
        </w:tc>
      </w:tr>
      <w:tr w14:paraId="55C5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</w:tcPr>
          <w:p w14:paraId="0F9C91AB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三、Skill 体系</w:t>
            </w:r>
          </w:p>
        </w:tc>
        <w:tc>
          <w:tcPr>
            <w:tcW w:w="4296" w:type="dxa"/>
          </w:tcPr>
          <w:p w14:paraId="20F7989E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建设 Skill 集合并做回归优化</w:t>
            </w:r>
          </w:p>
        </w:tc>
        <w:tc>
          <w:tcPr>
            <w:tcW w:w="2734" w:type="dxa"/>
          </w:tcPr>
          <w:p w14:paraId="6B0536A0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完整检索链路、Skill 集合</w:t>
            </w:r>
          </w:p>
        </w:tc>
      </w:tr>
      <w:tr w14:paraId="49A36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shd w:val="clear" w:color="auto" w:fill="F2F5F9"/>
          </w:tcPr>
          <w:p w14:paraId="27FABD2A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四、插件封装与试点</w:t>
            </w:r>
          </w:p>
        </w:tc>
        <w:tc>
          <w:tcPr>
            <w:tcW w:w="4296" w:type="dxa"/>
            <w:shd w:val="clear" w:color="auto" w:fill="F2F5F9"/>
          </w:tcPr>
          <w:p w14:paraId="476386CA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插件结构搭建、工具与命令注册、UI 卡片、单专业试点</w:t>
            </w:r>
          </w:p>
        </w:tc>
        <w:tc>
          <w:tcPr>
            <w:tcW w:w="2734" w:type="dxa"/>
            <w:shd w:val="clear" w:color="auto" w:fill="F2F5F9"/>
          </w:tcPr>
          <w:p w14:paraId="482023CC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可安装插件包、试点评估报告</w:t>
            </w:r>
          </w:p>
        </w:tc>
      </w:tr>
    </w:tbl>
    <w:p w14:paraId="327305FB">
      <w:pPr>
        <w:pStyle w:val="4"/>
        <w:spacing w:before="120" w:after="60" w:line="276" w:lineRule="auto"/>
      </w:pPr>
      <w:r>
        <w:rPr>
          <w:rFonts w:ascii="Arial" w:hAnsi="Arial" w:eastAsia="黑体"/>
          <w:b/>
          <w:color w:val="17375E"/>
          <w:sz w:val="22"/>
        </w:rPr>
        <w:t>6.2 主要风险与应对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7083"/>
      </w:tblGrid>
      <w:tr w14:paraId="41EC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5" w:type="dxa"/>
            <w:shd w:val="clear" w:color="auto" w:fill="17375E"/>
          </w:tcPr>
          <w:p w14:paraId="3F23243A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风险</w:t>
            </w:r>
          </w:p>
        </w:tc>
        <w:tc>
          <w:tcPr>
            <w:tcW w:w="7083" w:type="dxa"/>
            <w:shd w:val="clear" w:color="auto" w:fill="17375E"/>
          </w:tcPr>
          <w:p w14:paraId="4FE5E858">
            <w:pPr>
              <w:spacing w:before="20" w:after="20" w:line="240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应对措施</w:t>
            </w:r>
          </w:p>
        </w:tc>
      </w:tr>
      <w:tr w14:paraId="11F99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5" w:type="dxa"/>
            <w:shd w:val="clear" w:color="auto" w:fill="F2F5F9"/>
          </w:tcPr>
          <w:p w14:paraId="0C918050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幻觉与错误引用</w:t>
            </w:r>
          </w:p>
        </w:tc>
        <w:tc>
          <w:tcPr>
            <w:tcW w:w="7083" w:type="dxa"/>
            <w:shd w:val="clear" w:color="auto" w:fill="F2F5F9"/>
          </w:tcPr>
          <w:p w14:paraId="06066C8A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 xml:space="preserve">引用程序化校验 + 数字一致性复核 + 低置信度拒答 </w:t>
            </w:r>
          </w:p>
        </w:tc>
      </w:tr>
      <w:tr w14:paraId="3FCFB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5" w:type="dxa"/>
            <w:shd w:val="clear" w:color="auto" w:fill="F2F5F9"/>
          </w:tcPr>
          <w:p w14:paraId="3377E2CD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政策或数据变动导致过期</w:t>
            </w:r>
          </w:p>
        </w:tc>
        <w:tc>
          <w:tcPr>
            <w:tcW w:w="7083" w:type="dxa"/>
            <w:shd w:val="clear" w:color="auto" w:fill="F2F5F9"/>
          </w:tcPr>
          <w:p w14:paraId="1EEA6AA0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版本化与失效标记；定期更新；回答中标注数据版本与截止时间</w:t>
            </w:r>
          </w:p>
        </w:tc>
      </w:tr>
      <w:tr w14:paraId="0F76D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5" w:type="dxa"/>
            <w:shd w:val="clear" w:color="auto" w:fill="F2F5F9"/>
          </w:tcPr>
          <w:p w14:paraId="59A33B6A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个人数据安全</w:t>
            </w:r>
          </w:p>
        </w:tc>
        <w:tc>
          <w:tcPr>
            <w:tcW w:w="7083" w:type="dxa"/>
            <w:shd w:val="clear" w:color="auto" w:fill="F2F5F9"/>
          </w:tcPr>
          <w:p w14:paraId="4B00EC9C"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 w:val="0"/>
                <w:color w:val="222222"/>
                <w:sz w:val="18"/>
              </w:rPr>
              <w:t>最小化采集</w:t>
            </w:r>
          </w:p>
        </w:tc>
      </w:tr>
    </w:tbl>
    <w:p w14:paraId="76028A1F">
      <w:pPr>
        <w:pStyle w:val="3"/>
        <w:spacing w:before="180" w:after="80" w:line="276" w:lineRule="auto"/>
      </w:pPr>
      <w:r>
        <w:rPr>
          <w:rFonts w:hint="eastAsia" w:ascii="Arial" w:hAnsi="Arial" w:eastAsia="黑体"/>
          <w:b/>
          <w:color w:val="17375E"/>
          <w:sz w:val="27"/>
          <w:lang w:val="en-US" w:eastAsia="zh-CN"/>
        </w:rPr>
        <w:t>七</w:t>
      </w:r>
      <w:r>
        <w:rPr>
          <w:rFonts w:ascii="Arial" w:hAnsi="Arial" w:eastAsia="黑体"/>
          <w:b/>
          <w:color w:val="17375E"/>
          <w:sz w:val="27"/>
        </w:rPr>
        <w:t>、下一步工作建议</w:t>
      </w:r>
    </w:p>
    <w:p w14:paraId="5E8E0ADD">
      <w:pPr>
        <w:pStyle w:val="14"/>
        <w:spacing w:after="40" w:line="307" w:lineRule="auto"/>
        <w:ind w:left="312"/>
      </w:pPr>
      <w:r>
        <w:rPr>
          <w:rFonts w:ascii="Times New Roman" w:hAnsi="Times New Roman" w:eastAsia="宋体"/>
          <w:b/>
          <w:color w:val="222222"/>
          <w:sz w:val="19"/>
        </w:rPr>
        <w:t>先做数据，后做模型</w:t>
      </w:r>
      <w:r>
        <w:rPr>
          <w:rFonts w:ascii="Times New Roman" w:hAnsi="Times New Roman" w:eastAsia="宋体"/>
          <w:b w:val="0"/>
          <w:color w:val="222222"/>
          <w:sz w:val="19"/>
        </w:rPr>
        <w:t>：尽快拿到一份完整、带版本的培养方案与课程库。</w:t>
      </w:r>
    </w:p>
    <w:p w14:paraId="43CC6633">
      <w:pPr>
        <w:pStyle w:val="14"/>
        <w:spacing w:after="40" w:line="307" w:lineRule="auto"/>
        <w:ind w:left="312"/>
      </w:pPr>
      <w:r>
        <w:rPr>
          <w:rFonts w:ascii="Times New Roman" w:hAnsi="Times New Roman" w:eastAsia="宋体"/>
          <w:b/>
          <w:color w:val="222222"/>
          <w:sz w:val="19"/>
        </w:rPr>
        <w:t>先做窄场景，后做全场景</w:t>
      </w:r>
      <w:r>
        <w:rPr>
          <w:rFonts w:ascii="Times New Roman" w:hAnsi="Times New Roman" w:eastAsia="宋体"/>
          <w:b w:val="0"/>
          <w:color w:val="222222"/>
          <w:sz w:val="19"/>
        </w:rPr>
        <w:t>：第一版只做“培养方案解读 + 课程事实查询”，把引用溯源与拒答机制打磨扎实，再扩展规划建议。</w:t>
      </w:r>
    </w:p>
    <w:sectPr>
      <w:footerReference r:id="rId5" w:type="default"/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3E259">
    <w:pPr>
      <w:pStyle w:val="24"/>
      <w:jc w:val="center"/>
    </w:pPr>
    <w:r>
      <w:rPr>
        <w:rFonts w:ascii="Times New Roman" w:hAnsi="Times New Roman" w:eastAsia="宋体"/>
        <w:b w:val="0"/>
        <w:color w:val="595959"/>
        <w:sz w:val="16"/>
      </w:rPr>
      <w:t>— 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80377"/>
    <w:rsid w:val="089D1565"/>
    <w:rsid w:val="25577B0A"/>
    <w:rsid w:val="348F5EFB"/>
    <w:rsid w:val="379143D7"/>
    <w:rsid w:val="37C26D2D"/>
    <w:rsid w:val="43C46F4B"/>
    <w:rsid w:val="56F04EAB"/>
    <w:rsid w:val="641F52AF"/>
    <w:rsid w:val="674212F6"/>
    <w:rsid w:val="6BA449D8"/>
    <w:rsid w:val="6EE3336E"/>
    <w:rsid w:val="7DB8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75E"/>
      <w:sz w:val="27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75E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2444</Words>
  <Characters>2553</Characters>
  <Lines>0</Lines>
  <Paragraphs>0</Paragraphs>
  <TotalTime>11</TotalTime>
  <ScaleCrop>false</ScaleCrop>
  <LinksUpToDate>false</LinksUpToDate>
  <CharactersWithSpaces>2718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方案文档</cp:category>
  <dcterms:created xsi:type="dcterms:W3CDTF">2013-12-23T23:15:00Z</dcterms:created>
  <dc:creator>python-docx</dc:creator>
  <dc:description>精简版摘要，供快速阅读与汇报使用；完整方案见《初步设想》文档。</dc:description>
  <cp:keywords>RAG; 大模型; DSH 插件; Skill; 培养方案; 选课</cp:keywords>
  <cp:lastModifiedBy>Mytel</cp:lastModifiedBy>
  <dcterms:modified xsi:type="dcterms:W3CDTF">2026-09-28T09:51:03Z</dcterms:modified>
  <dc:subject>基于大模型与检索增强生成（RAG）· 4 页精简版</dc:subject>
  <dc:title>计算机类新生选课与培养方案问答助手 —— 方案摘要（精简版）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eyJoZGlkIjoiMjk5NWE0NDZiNDAzMGU0YTY4MDJmZDEyNmE1MDZjOGMifQ==</vt:lpwstr>
  </property>
  <property fmtid="{D5CDD505-2E9C-101B-9397-08002B2CF9AE}" pid="3" name="KSOProductBuildVer">
    <vt:lpwstr>2052-12.1.0.19302</vt:lpwstr>
  </property>
  <property fmtid="{D5CDD505-2E9C-101B-9397-08002B2CF9AE}" pid="4" name="ICV">
    <vt:lpwstr>684737AA1462482AA3F395E3EF5F2A0B_12</vt:lpwstr>
  </property>
</Properties>
</file>