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事件真相还原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1. 三年前保险箱盗窃案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犯人身份：丁宇楠（45岁，身高1.75米）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作案逻辑：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身高匹配：三年前案件要求密码输入者能正常操作保险箱，而丁宇楠身高1.75米符合人体工程学操作范围。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动机：因情人坠楼事件被警方怀疑，急需资金逃亡。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密码破解：通过姚克案中抢走的密码纸条（5302）直接解锁保险箱。叶雨的震惊源于密码竟直接写在姚克案证物中。  </w:t>
      </w:r>
    </w:p>
    <w:p>
      <w:pPr>
        <w:pStyle w:val="style0"/>
        <w:rPr/>
      </w:pPr>
      <w:r>
        <w:rPr>
          <w:lang w:val="en-US"/>
        </w:rPr>
        <w:t xml:space="preserve">钥匙来源：谎称捡到的钥匙实为姚克案中抢走的保险箱钥匙，形成跨案件证据链。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关键证据：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丁宇楠身高完美匹配姚克案中172-177cm的嫌疑人特征。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三起案件撬锁痕迹一致，指向同一作案手法。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2. 美君与X公司失窃案无关的原因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不在场证明：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案发当日18:10，美君被古在仁临时指派处理经费审批任务（需线下跑流程），监控显示其全程在行政部门活动同时办公室电脑日志显示，美君账号在案发时段持续操作报销系统，物理上无法同时实施盗窃。  </w:t>
      </w:r>
    </w:p>
    <w:p>
      <w:pPr>
        <w:pStyle w:val="style0"/>
        <w:rPr/>
      </w:pPr>
      <w:r>
        <w:rPr>
          <w:lang w:val="en-US"/>
        </w:rPr>
        <w:t>动机缺乏：美君无财务需求或复仇动机，证词可信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心理盲点：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古在仁刻意营造美君“突然消失”的假象，实则利用其作为干扰项。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 “侠客”犯罪网络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成员构成：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丁宇楠（主犯）：负责暴力突破与致命攻击，六刀刺伤模式为其标志性手法。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江月明（从犯，身高1.73米）：利用业务部身份获取X公司安保漏洞信息，提供技术支援。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跨案件关联：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姚克案（2016）：抢夺保险箱密钥，为后续盗窃铺路。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三年前盗窃案：使用姚克案中获得的密码实施精准犯罪。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X公司失窃案：复制撬锁手法，江月明借合作洽谈踩点，丁宇楠暴力破解电子锁。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张强案：因张强曾见证姚克案关键证据，遭灭口式袭击，莉洁因目击成为连带目标。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行为模式：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始终保留“六刀刺伤”仪式化暴力特征，暗示对黑帮规则（六合会传统）的病态效忠。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选择老旧公寓/公司保密室等安保薄弱场所，凸显对物理安防系统的深入研究。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4. 其他细节解密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郑嘉年父女疑云：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郑东（身高1.63米）因身高不符所有案件嫌疑人范围，实为清白。其姓名笔误系古在仁故意制造审计部混乱，为后续盗窃创造时间窗口。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莉洁遇袭真相：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凶手为丁宇楠，其1.75米身高与玮珊描述的“撞人者比我高”（玮珊1.60米）完全吻合。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散落的百元钞票实为盗窃案赃款，丁宇楠携款逃离时撞倒玮珊。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古在仁的深层角色：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通过指派莉洁送包裹制造“刘兰希收到纪念礼物”的虚假不在场证明，实则包裹内藏赃款转移指令（后被替换）。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刻意打压美君的经费申请，迫使她案发时离开核心现场，避免目击关键证据。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贯穿性证据链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1. 生物证据：姚克案与张强案的DNA比对显示同一凶器。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2. 数字轨迹：丁宇楠手机基站数据与三起案件案发地存在时空交集。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3. 财务流向：江月明境外账户在三年前盗窃案后突增50万不明汇款。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4. 工具鉴定：X公司失窃案撬锁工具与姚克案工具金属成分完全一致。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最终动机</w:t>
      </w:r>
    </w:p>
    <w:p>
      <w:pPr>
        <w:pStyle w:val="style0"/>
        <w:rPr/>
      </w:pPr>
      <w:r>
        <w:rPr>
          <w:lang w:val="en-US"/>
        </w:rPr>
        <w:t>丁宇楠因情人坠楼被警方持续调查，为筹集封口费及逃亡资金，与江月明合谋利用黑帮资源（姚克案密钥）实施系列犯罪。古在仁则借机清除业务对手（姚克）并攫取公司密件，形成黑白两道双向利益链条。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1156</Words>
  <Characters>1210</Characters>
  <Application>WPS Office</Application>
  <Paragraphs>61</Paragraphs>
  <CharactersWithSpaces>1293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2025-02-02T05:49:27Z</dcterms:created>
  <dc:creator>23127PN0CC</dc:creator>
  <lastModifiedBy>23127PN0CC</lastModifiedBy>
  <dcterms:modified xsi:type="dcterms:W3CDTF">2025-02-02T05:55:09Z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2039e490f146458c8c1fb16094c76321_21</vt:lpwstr>
  </property>
</Properties>
</file>