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720"/>
      </w:pPr>
      <w:r>
        <w:rPr>
          <w:rFonts w:ascii="Arial" w:cs="Arial" w:eastAsia="Arial" w:hAnsi="Arial"/>
          <w:b/>
          <w:bCs/>
          <w:color w:val="1E293B"/>
          <w:sz w:val="64"/>
          <w:szCs w:val="64"/>
        </w:rPr>
        <w:t xml:space="preserve">IP Address Manager</w:t>
      </w:r>
    </w:p>
    <w:p>
      <w:pPr>
        <w:spacing w:after="80" w:before="0"/>
      </w:pPr>
      <w:r>
        <w:rPr>
          <w:rFonts w:ascii="Arial" w:cs="Arial" w:eastAsia="Arial" w:hAnsi="Arial"/>
          <w:color w:val="0D9488"/>
          <w:sz w:val="36"/>
          <w:szCs w:val="36"/>
        </w:rPr>
        <w:t xml:space="preserve">Product Roadmap</w:t>
      </w:r>
    </w:p>
    <w:p>
      <w:pPr>
        <w:spacing w:after="60" w:before="0"/>
      </w:pPr>
      <w:r>
        <w:rPr>
          <w:rFonts w:ascii="Arial" w:cs="Arial" w:eastAsia="Arial" w:hAnsi="Arial"/>
          <w:color w:val="64748B"/>
          <w:sz w:val="22"/>
          <w:szCs w:val="22"/>
        </w:rPr>
        <w:t xml:space="preserve">Home Network · 192.168.0.0/24</w:t>
      </w:r>
    </w:p>
    <w:p>
      <w:pPr>
        <w:spacing w:after="480" w:before="0"/>
      </w:pPr>
      <w:r>
        <w:rPr>
          <w:rFonts w:ascii="Arial" w:cs="Arial" w:eastAsia="Arial" w:hAnsi="Arial"/>
          <w:color w:val="64748B"/>
          <w:sz w:val="22"/>
          <w:szCs w:val="22"/>
        </w:rPr>
        <w:t xml:space="preserve">March 2026</w:t>
      </w:r>
    </w:p>
    <w:p>
      <w:pPr>
        <w:pBdr>
          <w:bottom w:val="single" w:color="E2E8F0" w:sz="4" w:space="1"/>
        </w:pBdr>
        <w:spacing w:after="240" w:before="240"/>
      </w:pPr>
    </w:p>
    <w:p>
      <w:pPr>
        <w:pStyle w:val="Heading1"/>
        <w:spacing w:after="160" w:before="400"/>
      </w:pPr>
      <w:r>
        <w:rPr>
          <w:rFonts w:ascii="Arial" w:cs="Arial" w:eastAsia="Arial" w:hAnsi="Arial"/>
          <w:b/>
          <w:bCs/>
          <w:color w:val="1E293B"/>
          <w:sz w:val="36"/>
          <w:szCs w:val="36"/>
        </w:rPr>
        <w:t xml:space="preserve">Overview</w:t>
      </w:r>
    </w:p>
    <w:p>
      <w:pPr>
        <w:spacing w:after="60" w:before="60"/>
      </w:pPr>
      <w:r>
        <w:rPr>
          <w:rFonts w:ascii="Arial" w:cs="Arial" w:eastAsia="Arial" w:hAnsi="Arial"/>
          <w:color w:val="1E293B"/>
          <w:sz w:val="22"/>
          <w:szCs w:val="22"/>
        </w:rPr>
        <w:t xml:space="preserve">The IP Address Manager started as a static Excel spreadsheet used to track home network assignments across servers, containers, cameras, and networking equipment. It has evolved into a full-stack React web application (v1.9) with a SQLite backend, real-time search, tag filtering, sortable table view, editable entries, CSV/Excel import and export, multi-network / VLAN support, full backup and restore, login authentication, and a built-in Settings panel — deployable as a shared tool on a home LXC. A native iPad app (SwiftUI, iOS 26) is in active development alongside the web app. Released under the PolyForm Noncommercial License.</w:t>
      </w:r>
    </w:p>
    <w:p>
      <w:pPr>
        <w:spacing w:after="0" w:before="80"/>
      </w:pPr>
    </w:p>
    <w:p>
      <w:pPr>
        <w:spacing w:after="60" w:before="60"/>
      </w:pPr>
      <w:r>
        <w:rPr>
          <w:rFonts w:ascii="Arial" w:cs="Arial" w:eastAsia="Arial" w:hAnsi="Arial"/>
          <w:color w:val="1E293B"/>
          <w:sz w:val="22"/>
          <w:szCs w:val="22"/>
        </w:rPr>
        <w:t xml:space="preserve">This roadmap outlines the planned improvements across three phases — near-term polish, mid-term capability expansion, and a longer-term vision for a fully self-contained network management platform.</w:t>
      </w:r>
    </w:p>
    <w:p>
      <w:pPr>
        <w:spacing w:after="0" w:before="160"/>
      </w:pPr>
    </w:p>
    <w:p>
      <w:pPr>
        <w:pStyle w:val="Heading1"/>
        <w:spacing w:after="160" w:before="400"/>
      </w:pPr>
      <w:r>
        <w:rPr>
          <w:rFonts w:ascii="Arial" w:cs="Arial" w:eastAsia="Arial" w:hAnsi="Arial"/>
          <w:b/>
          <w:bCs/>
          <w:color w:val="1E293B"/>
          <w:sz w:val="36"/>
          <w:szCs w:val="36"/>
        </w:rPr>
        <w:t xml:space="preserve">Current State (v1.9)</w:t>
      </w:r>
    </w:p>
    <w:p>
      <w:pPr>
        <w:spacing w:after="60" w:before="60"/>
      </w:pPr>
      <w:r>
        <w:rPr>
          <w:rFonts w:ascii="Arial" w:cs="Arial" w:eastAsia="Arial" w:hAnsi="Arial"/>
          <w:color w:val="1E293B"/>
          <w:sz w:val="22"/>
          <w:szCs w:val="22"/>
        </w:rPr>
        <w:t xml:space="preserve">The following features are live in the current release:</w:t>
      </w:r>
    </w:p>
    <w:p>
      <w:pPr>
        <w:spacing w:after="0" w:before="60"/>
      </w:pPr>
    </w:p>
    <w:p>
      <w:pPr>
        <w:pStyle w:val="ListParagraph"/>
        <w:numPr>
          <w:ilvl w:val="0"/>
          <w:numId w:val="2"/>
        </w:numPr>
        <w:spacing w:after="40" w:before="40"/>
      </w:pPr>
      <w:r>
        <w:rPr>
          <w:rFonts w:ascii="Arial" w:cs="Arial" w:eastAsia="Arial" w:hAnsi="Arial"/>
          <w:color w:val="1E293B"/>
          <w:sz w:val="22"/>
          <w:szCs w:val="22"/>
        </w:rPr>
        <w:t xml:space="preserve">Cards and Table views with search, type, location, and tag filters</w:t>
      </w:r>
    </w:p>
    <w:p>
      <w:pPr>
        <w:pStyle w:val="ListParagraph"/>
        <w:numPr>
          <w:ilvl w:val="0"/>
          <w:numId w:val="2"/>
        </w:numPr>
        <w:spacing w:after="40" w:before="40"/>
      </w:pPr>
      <w:r>
        <w:rPr>
          <w:rFonts w:ascii="Arial" w:cs="Arial" w:eastAsia="Arial" w:hAnsi="Arial"/>
          <w:color w:val="1E293B"/>
          <w:sz w:val="22"/>
          <w:szCs w:val="22"/>
        </w:rPr>
        <w:t xml:space="preserve">DHCP / Fixed / Static / Free IP classification</w:t>
      </w:r>
    </w:p>
    <w:p>
      <w:pPr>
        <w:pStyle w:val="ListParagraph"/>
        <w:numPr>
          <w:ilvl w:val="0"/>
          <w:numId w:val="2"/>
        </w:numPr>
        <w:spacing w:after="40" w:before="40"/>
      </w:pPr>
      <w:r>
        <w:rPr>
          <w:rFonts w:ascii="Arial" w:cs="Arial" w:eastAsia="Arial" w:hAnsi="Arial"/>
          <w:color w:val="1E293B"/>
          <w:sz w:val="22"/>
          <w:szCs w:val="22"/>
        </w:rPr>
        <w:t xml:space="preserve">Expandable free IP panel with range grouping and quick-copy</w:t>
      </w:r>
    </w:p>
    <w:p>
      <w:pPr>
        <w:pStyle w:val="ListParagraph"/>
        <w:numPr>
          <w:ilvl w:val="0"/>
          <w:numId w:val="2"/>
        </w:numPr>
        <w:spacing w:after="40" w:before="40"/>
      </w:pPr>
      <w:r>
        <w:rPr>
          <w:rFonts w:ascii="Arial" w:cs="Arial" w:eastAsia="Arial" w:hAnsi="Arial"/>
          <w:color w:val="1E293B"/>
          <w:sz w:val="22"/>
          <w:szCs w:val="22"/>
        </w:rPr>
        <w:t xml:space="preserve">Edit modal for any IP entry — change name, hostname, type, location, service, tags, and notes</w:t>
      </w:r>
    </w:p>
    <w:p>
      <w:pPr>
        <w:pStyle w:val="ListParagraph"/>
        <w:numPr>
          <w:ilvl w:val="0"/>
          <w:numId w:val="2"/>
        </w:numPr>
        <w:spacing w:after="40" w:before="40"/>
      </w:pPr>
      <w:r>
        <w:rPr>
          <w:rFonts w:ascii="Arial" w:cs="Arial" w:eastAsia="Arial" w:hAnsi="Arial"/>
          <w:color w:val="1E293B"/>
          <w:sz w:val="22"/>
          <w:szCs w:val="22"/>
        </w:rPr>
        <w:t xml:space="preserve">Tag support — add custom tags to any entry (e.g. 'media', 'iot', 'monitoring'); filterable via clickable chips in the header; clicking a tag on any card filters by it instantly</w:t>
      </w:r>
    </w:p>
    <w:p>
      <w:pPr>
        <w:pStyle w:val="ListParagraph"/>
        <w:numPr>
          <w:ilvl w:val="0"/>
          <w:numId w:val="2"/>
        </w:numPr>
        <w:spacing w:after="40" w:before="40"/>
      </w:pPr>
      <w:r>
        <w:rPr>
          <w:rFonts w:ascii="Arial" w:cs="Arial" w:eastAsia="Arial" w:hAnsi="Arial"/>
          <w:color w:val="1E293B"/>
          <w:sz w:val="22"/>
          <w:szCs w:val="22"/>
        </w:rPr>
        <w:t xml:space="preserve">Notes field per entry — visible in the edit modal and on expanded cards</w:t>
      </w:r>
    </w:p>
    <w:p>
      <w:pPr>
        <w:pStyle w:val="ListParagraph"/>
        <w:numPr>
          <w:ilvl w:val="0"/>
          <w:numId w:val="2"/>
        </w:numPr>
        <w:spacing w:after="40" w:before="40"/>
      </w:pPr>
      <w:r>
        <w:rPr>
          <w:rFonts w:ascii="Arial" w:cs="Arial" w:eastAsia="Arial" w:hAnsi="Arial"/>
          <w:color w:val="1E293B"/>
          <w:sz w:val="22"/>
          <w:szCs w:val="22"/>
        </w:rPr>
        <w:t xml:space="preserve">Sort controls — click any column header in Table view to sort ascending or descending (IP, name, hostname, type, location, service, last modified)</w:t>
      </w:r>
    </w:p>
    <w:p>
      <w:pPr>
        <w:pStyle w:val="ListParagraph"/>
        <w:numPr>
          <w:ilvl w:val="0"/>
          <w:numId w:val="2"/>
        </w:numPr>
        <w:spacing w:after="40" w:before="40"/>
      </w:pPr>
      <w:r>
        <w:rPr>
          <w:rFonts w:ascii="Arial" w:cs="Arial" w:eastAsia="Arial" w:hAnsi="Arial"/>
          <w:color w:val="1E293B"/>
          <w:sz w:val="22"/>
          <w:szCs w:val="22"/>
        </w:rPr>
        <w:t xml:space="preserve">Last modified date — every save, import, or release stamps an updatedAt timestamp; shown in expanded card view and as a dedicated column in Table view</w:t>
      </w:r>
    </w:p>
    <w:p>
      <w:pPr>
        <w:pStyle w:val="ListParagraph"/>
        <w:numPr>
          <w:ilvl w:val="0"/>
          <w:numId w:val="2"/>
        </w:numPr>
        <w:spacing w:after="40" w:before="40"/>
      </w:pPr>
      <w:r>
        <w:rPr>
          <w:rFonts w:ascii="Arial" w:cs="Arial" w:eastAsia="Arial" w:hAnsi="Arial"/>
          <w:color w:val="1E293B"/>
          <w:sz w:val="22"/>
          <w:szCs w:val="22"/>
        </w:rPr>
        <w:t xml:space="preserve">Claim This IP form for available addresses</w:t>
      </w:r>
    </w:p>
    <w:p>
      <w:pPr>
        <w:pStyle w:val="ListParagraph"/>
        <w:numPr>
          <w:ilvl w:val="0"/>
          <w:numId w:val="2"/>
        </w:numPr>
        <w:spacing w:after="40" w:before="40"/>
      </w:pPr>
      <w:r>
        <w:rPr>
          <w:rFonts w:ascii="Arial" w:cs="Arial" w:eastAsia="Arial" w:hAnsi="Arial"/>
          <w:color w:val="1E293B"/>
          <w:sz w:val="22"/>
          <w:szCs w:val="22"/>
        </w:rPr>
        <w:t xml:space="preserve">Release IP back to the free pool</w:t>
      </w:r>
    </w:p>
    <w:p>
      <w:pPr>
        <w:pStyle w:val="ListParagraph"/>
        <w:numPr>
          <w:ilvl w:val="0"/>
          <w:numId w:val="2"/>
        </w:numPr>
        <w:spacing w:after="40" w:before="40"/>
      </w:pPr>
      <w:r>
        <w:rPr>
          <w:rFonts w:ascii="Arial" w:cs="Arial" w:eastAsia="Arial" w:hAnsi="Arial"/>
          <w:color w:val="1E293B"/>
          <w:sz w:val="22"/>
          <w:szCs w:val="22"/>
        </w:rPr>
        <w:t xml:space="preserve">Import from CSV / Excel — 3-step modal with column mapping, validation, and merge or replace modes</w:t>
      </w:r>
    </w:p>
    <w:p>
      <w:pPr>
        <w:pStyle w:val="ListParagraph"/>
        <w:numPr>
          <w:ilvl w:val="0"/>
          <w:numId w:val="2"/>
        </w:numPr>
        <w:spacing w:after="40" w:before="40"/>
      </w:pPr>
      <w:r>
        <w:rPr>
          <w:rFonts w:ascii="Arial" w:cs="Arial" w:eastAsia="Arial" w:hAnsi="Arial"/>
          <w:color w:val="1E293B"/>
          <w:sz w:val="22"/>
          <w:szCs w:val="22"/>
        </w:rPr>
        <w:t xml:space="preserve">Export to Excel (.xlsx) using SheetJS — preserves all edits</w:t>
      </w:r>
    </w:p>
    <w:p>
      <w:pPr>
        <w:pStyle w:val="ListParagraph"/>
        <w:numPr>
          <w:ilvl w:val="0"/>
          <w:numId w:val="2"/>
        </w:numPr>
        <w:spacing w:after="40" w:before="40"/>
      </w:pPr>
      <w:r>
        <w:rPr>
          <w:rFonts w:ascii="Arial" w:cs="Arial" w:eastAsia="Arial" w:hAnsi="Arial"/>
          <w:color w:val="1E293B"/>
          <w:sz w:val="22"/>
          <w:szCs w:val="22"/>
        </w:rPr>
        <w:t xml:space="preserve">SQLite backend — shared server-side database via Node/Express API; consistent across all users and browsers</w:t>
      </w:r>
    </w:p>
    <w:p>
      <w:pPr>
        <w:pStyle w:val="ListParagraph"/>
        <w:numPr>
          <w:ilvl w:val="0"/>
          <w:numId w:val="2"/>
        </w:numPr>
        <w:spacing w:after="40" w:before="40"/>
      </w:pPr>
      <w:r>
        <w:rPr>
          <w:rFonts w:ascii="Arial" w:cs="Arial" w:eastAsia="Arial" w:hAnsi="Arial"/>
          <w:color w:val="1E293B"/>
          <w:sz w:val="22"/>
          <w:szCs w:val="22"/>
        </w:rPr>
        <w:t xml:space="preserve">Automatic API detection — falls back to localStorage for local dev when no server is present</w:t>
      </w:r>
    </w:p>
    <w:p>
      <w:pPr>
        <w:pStyle w:val="ListParagraph"/>
        <w:numPr>
          <w:ilvl w:val="0"/>
          <w:numId w:val="2"/>
        </w:numPr>
        <w:spacing w:after="40" w:before="40"/>
      </w:pPr>
      <w:r>
        <w:rPr>
          <w:rFonts w:ascii="Arial" w:cs="Arial" w:eastAsia="Arial" w:hAnsi="Arial"/>
          <w:color w:val="1E293B"/>
          <w:sz w:val="22"/>
          <w:szCs w:val="22"/>
        </w:rPr>
        <w:t xml:space="preserve">Persistence mode indicator in the header (SQLite vs Local)</w:t>
      </w:r>
    </w:p>
    <w:p>
      <w:pPr>
        <w:pStyle w:val="ListParagraph"/>
        <w:numPr>
          <w:ilvl w:val="0"/>
          <w:numId w:val="2"/>
        </w:numPr>
        <w:spacing w:after="40" w:before="40"/>
      </w:pPr>
      <w:r>
        <w:rPr>
          <w:rFonts w:ascii="Arial" w:cs="Arial" w:eastAsia="Arial" w:hAnsi="Arial"/>
          <w:color w:val="1E293B"/>
          <w:sz w:val="22"/>
          <w:szCs w:val="22"/>
        </w:rPr>
        <w:t xml:space="preserve">Network Settings panel — configure subnet, DHCP/static ranges, and fixed IPs via the UI — no code editing required</w:t>
      </w:r>
    </w:p>
    <w:p>
      <w:pPr>
        <w:pStyle w:val="ListParagraph"/>
        <w:numPr>
          <w:ilvl w:val="0"/>
          <w:numId w:val="2"/>
        </w:numPr>
        <w:spacing w:after="40" w:before="40"/>
      </w:pPr>
      <w:r>
        <w:rPr>
          <w:rFonts w:ascii="Arial" w:cs="Arial" w:eastAsia="Arial" w:hAnsi="Arial"/>
          <w:color w:val="1E293B"/>
          <w:sz w:val="22"/>
          <w:szCs w:val="22"/>
        </w:rPr>
        <w:t xml:space="preserve">Clean default dataset — ships with generic examples; users load their own data via Import</w:t>
      </w:r>
    </w:p>
    <w:p>
      <w:pPr>
        <w:pStyle w:val="ListParagraph"/>
        <w:numPr>
          <w:ilvl w:val="0"/>
          <w:numId w:val="2"/>
        </w:numPr>
        <w:spacing w:after="40" w:before="40"/>
      </w:pPr>
      <w:r>
        <w:rPr>
          <w:rFonts w:ascii="Arial" w:cs="Arial" w:eastAsia="Arial" w:hAnsi="Arial"/>
          <w:color w:val="1E293B"/>
          <w:sz w:val="22"/>
          <w:szCs w:val="22"/>
        </w:rPr>
        <w:t xml:space="preserve">LXC one-script installer (Ubuntu 24.04 + Nginx + systemd)</w:t>
      </w:r>
    </w:p>
    <w:p>
      <w:pPr>
        <w:pStyle w:val="ListParagraph"/>
        <w:numPr>
          <w:ilvl w:val="0"/>
          <w:numId w:val="2"/>
        </w:numPr>
        <w:spacing w:after="40" w:before="40"/>
      </w:pPr>
      <w:r>
        <w:rPr>
          <w:rFonts w:ascii="Arial" w:cs="Arial" w:eastAsia="Arial" w:hAnsi="Arial"/>
          <w:color w:val="1E293B"/>
          <w:sz w:val="22"/>
          <w:szCs w:val="22"/>
        </w:rPr>
        <w:t xml:space="preserve">Source code managed on GitHub under the PolyForm Noncommercial License</w:t>
      </w:r>
    </w:p>
    <w:p>
      <w:pPr>
        <w:pStyle w:val="ListParagraph"/>
        <w:numPr>
          <w:ilvl w:val="0"/>
          <w:numId w:val="2"/>
        </w:numPr>
        <w:spacing w:after="40" w:before="40"/>
      </w:pPr>
      <w:r>
        <w:rPr>
          <w:rFonts w:ascii="Arial" w:cs="Arial" w:eastAsia="Arial" w:hAnsi="Arial"/>
          <w:color w:val="1E293B"/>
          <w:sz w:val="22"/>
          <w:szCs w:val="22"/>
        </w:rPr>
        <w:t xml:space="preserve">/16 network support — both /24 (e.g. 192.168.1.x) and /16 (e.g. 172.16.x.x) subnet masks are fully supported; DHCP and static ranges accept two-octet host portions for /16 networks</w:t>
      </w:r>
    </w:p>
    <w:p>
      <w:pPr>
        <w:pStyle w:val="ListParagraph"/>
        <w:numPr>
          <w:ilvl w:val="0"/>
          <w:numId w:val="2"/>
        </w:numPr>
        <w:spacing w:after="40" w:before="40"/>
      </w:pPr>
      <w:r>
        <w:rPr>
          <w:rFonts w:ascii="Arial" w:cs="Arial" w:eastAsia="Arial" w:hAnsi="Arial"/>
          <w:color w:val="1E293B"/>
          <w:sz w:val="22"/>
          <w:szCs w:val="22"/>
        </w:rPr>
        <w:t xml:space="preserve">DHCP reservations anywhere on the network — fixed DHCP assignments are no longer constrained to the DHCP pool range; reservations on any subnet (e.g. 172.16.0.x, 172.16.3.x alongside a pool at 172.16.2.x) are correctly classified and badged</w:t>
      </w:r>
    </w:p>
    <w:p>
      <w:pPr>
        <w:pStyle w:val="ListParagraph"/>
        <w:numPr>
          <w:ilvl w:val="0"/>
          <w:numId w:val="2"/>
        </w:numPr>
        <w:spacing w:after="40" w:before="40"/>
      </w:pPr>
      <w:r>
        <w:rPr>
          <w:rFonts w:ascii="Arial" w:cs="Arial" w:eastAsia="Arial" w:hAnsi="Arial"/>
          <w:color w:val="1E293B"/>
          <w:sz w:val="22"/>
          <w:szCs w:val="22"/>
        </w:rPr>
        <w:t xml:space="preserve">Clear All Network Data — Danger Zone in Settings allows wiping all IP entries with a two-step confirmation; persists through the normal save path (SQLite or localStorage)</w:t>
      </w:r>
    </w:p>
    <w:p>
      <w:pPr>
        <w:pStyle w:val="ListParagraph"/>
        <w:numPr>
          <w:ilvl w:val="0"/>
          <w:numId w:val="2"/>
        </w:numPr>
        <w:spacing w:after="40" w:before="40"/>
      </w:pPr>
      <w:r>
        <w:rPr>
          <w:rFonts w:ascii="Arial" w:cs="Arial" w:eastAsia="Arial" w:hAnsi="Arial"/>
          <w:color w:val="1E293B"/>
          <w:sz w:val="22"/>
          <w:szCs w:val="22"/>
        </w:rPr>
        <w:t xml:space="preserve">Subnet auto-normalisation — the subnet field accepts any format (192.168.1.0, 192.168.1, 172.16.0.0/16); trailing zero octets and CIDR suffixes are stripped automatically on save</w:t>
      </w:r>
    </w:p>
    <w:p>
      <w:pPr>
        <w:pStyle w:val="ListParagraph"/>
        <w:numPr>
          <w:ilvl w:val="0"/>
          <w:numId w:val="2"/>
        </w:numPr>
        <w:spacing w:after="40" w:before="40"/>
      </w:pPr>
      <w:r>
        <w:rPr>
          <w:rFonts w:ascii="Arial" w:cs="Arial" w:eastAsia="Arial" w:hAnsi="Arial"/>
          <w:color w:val="1E293B"/>
          <w:sz w:val="22"/>
          <w:szCs w:val="22"/>
        </w:rPr>
        <w:t xml:space="preserve">Bulk selection and bulk edit — checkboxes on every card and table row; selecting items reveals a bulk action bar; the Bulk Edit modal appends tags, overwrites type, or overwrites location across all selected entries at once; a Release button returns all selected IPs to the free pool in one action</w:t>
      </w:r>
    </w:p>
    <w:p>
      <w:pPr>
        <w:pStyle w:val="ListParagraph"/>
        <w:numPr>
          <w:ilvl w:val="0"/>
          <w:numId w:val="2"/>
        </w:numPr>
        <w:spacing w:after="40" w:before="40"/>
      </w:pPr>
      <w:r>
        <w:rPr>
          <w:rFonts w:ascii="Arial" w:cs="Arial" w:eastAsia="Arial" w:hAnsi="Arial"/>
          <w:color w:val="1E293B"/>
          <w:sz w:val="22"/>
          <w:szCs w:val="22"/>
        </w:rPr>
        <w:t xml:space="preserve">Location management — new Locations section in Settings: rename a location across every entry at once, delete a location (clears it from all entries), or add new locations before any entry uses them</w:t>
      </w:r>
    </w:p>
    <w:p>
      <w:pPr>
        <w:pStyle w:val="ListParagraph"/>
        <w:numPr>
          <w:ilvl w:val="0"/>
          <w:numId w:val="2"/>
        </w:numPr>
        <w:spacing w:after="40" w:before="40"/>
      </w:pPr>
      <w:r>
        <w:rPr>
          <w:rFonts w:ascii="Arial" w:cs="Arial" w:eastAsia="Arial" w:hAnsi="Arial"/>
          <w:color w:val="1E293B"/>
          <w:sz w:val="22"/>
          <w:szCs w:val="22"/>
        </w:rPr>
        <w:t xml:space="preserve">Free IPs in main list — free static IPs are computed from the static range minus assigned entries and appear as searchable Available cards and rows in the main view; clicking one opens the claim dialog directly</w:t>
      </w:r>
    </w:p>
    <w:p>
      <w:pPr>
        <w:pStyle w:val="ListParagraph"/>
        <w:numPr>
          <w:ilvl w:val="0"/>
          <w:numId w:val="2"/>
        </w:numPr>
        <w:spacing w:after="40" w:before="40"/>
      </w:pPr>
      <w:r>
        <w:rPr>
          <w:rFonts w:ascii="Arial" w:cs="Arial" w:eastAsia="Arial" w:hAnsi="Arial"/>
          <w:color w:val="1E293B"/>
          <w:sz w:val="22"/>
          <w:szCs w:val="22"/>
        </w:rPr>
        <w:t xml:space="preserve">Change history / audit log — every save records a timestamped diff (field by field, old value → new value) visible in the expanded card view; bulk edits flagged with a badge; history capped at 20 entries per IP</w:t>
      </w:r>
    </w:p>
    <w:p>
      <w:pPr>
        <w:pStyle w:val="ListParagraph"/>
        <w:numPr>
          <w:ilvl w:val="0"/>
          <w:numId w:val="2"/>
        </w:numPr>
        <w:spacing w:after="40" w:before="40"/>
      </w:pPr>
      <w:r>
        <w:rPr>
          <w:rFonts w:ascii="Arial" w:cs="Arial" w:eastAsia="Arial" w:hAnsi="Arial"/>
          <w:color w:val="1E293B"/>
          <w:sz w:val="22"/>
          <w:szCs w:val="22"/>
        </w:rPr>
        <w:t xml:space="preserve">Multi-network / VLAN support — add multiple subnets (e.g. 192.168.0.x LAN, 172.16.x.x IoT VLAN); network tabs in the header scope all data, stats, and free IPs to the active network; each network has independent config; delete a network from Settings</w:t>
      </w:r>
    </w:p>
    <w:p>
      <w:pPr>
        <w:pStyle w:val="ListParagraph"/>
        <w:numPr>
          <w:ilvl w:val="0"/>
          <w:numId w:val="2"/>
        </w:numPr>
        <w:spacing w:after="40" w:before="40"/>
      </w:pPr>
      <w:r>
        <w:rPr>
          <w:rFonts w:ascii="Arial" w:cs="Arial" w:eastAsia="Arial" w:hAnsi="Arial"/>
          <w:color w:val="1E293B"/>
          <w:sz w:val="22"/>
          <w:szCs w:val="22"/>
        </w:rPr>
        <w:t xml:space="preserve">Full backup and restore — Settings → Backup &amp; Restore: download a .json file containing all networks, all IP entries, tags, notes, and change history; restore from any prior backup with a confirmation preview; hide-free-IPs display toggle for large /16 subnets</w:t>
      </w:r>
    </w:p>
    <w:p>
      <w:pPr>
        <w:pStyle w:val="ListParagraph"/>
        <w:numPr>
          <w:ilvl w:val="0"/>
          <w:numId w:val="2"/>
        </w:numPr>
        <w:spacing w:after="40" w:before="40"/>
      </w:pPr>
      <w:r>
        <w:rPr>
          <w:rFonts w:ascii="Arial" w:cs="Arial" w:eastAsia="Arial" w:hAnsi="Arial"/>
          <w:color w:val="1E293B"/>
          <w:sz w:val="22"/>
          <w:szCs w:val="22"/>
        </w:rPr>
        <w:t xml:space="preserve">Login / authentication (v1.9) — username &amp; password login screen protects the app for shared/subdomain use; session cookie persists for the browser session; credentials managed via Settings → Account (no server access needed); default admin/admin with first-time hint on the login page; multi-user support planned for Phase 3</w:t>
      </w:r>
    </w:p>
    <w:p>
      <w:pPr>
        <w:spacing w:after="0" w:before="160"/>
      </w:pPr>
    </w:p>
    <w:p>
      <w:pPr>
        <w:pStyle w:val="Heading1"/>
        <w:spacing w:after="160" w:before="400"/>
      </w:pPr>
      <w:r>
        <w:rPr>
          <w:rFonts w:ascii="Arial" w:cs="Arial" w:eastAsia="Arial" w:hAnsi="Arial"/>
          <w:b/>
          <w:bCs/>
          <w:color w:val="1E293B"/>
          <w:sz w:val="36"/>
          <w:szCs w:val="36"/>
        </w:rPr>
        <w:t xml:space="preserve">Phase 1 — Polish &amp; Quick Wins</w:t>
      </w:r>
    </w:p>
    <w:p>
      <w:pPr>
        <w:spacing w:after="0" w:before="80"/>
      </w:pP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6000"/>
        <w:gridCol w:w="3360"/>
      </w:tblGrid>
      <w:tr>
        <w:tc>
          <w:tcPr>
            <w:tcW w:type="dxa" w:w="6000"/>
            <w:tcBorders>
              <w:top w:val="single" w:color="CCFBF1" w:sz="1"/>
              <w:left w:val="single" w:color="CCFBF1" w:sz="1"/>
              <w:bottom w:val="single" w:color="CCFBF1" w:sz="1"/>
              <w:right w:val="single" w:color="CCFBF1" w:sz="1"/>
            </w:tcBorders>
            <w:shd w:fill="CCFBF1" w:val="clear"/>
            <w:tcMar>
              <w:top w:type="dxa" w:w="120"/>
              <w:left w:type="dxa" w:w="200"/>
              <w:bottom w:type="dxa" w:w="120"/>
              <w:right w:type="dxa" w:w="200"/>
            </w:tcMar>
          </w:tcPr>
          <w:p>
            <w:r>
              <w:rPr>
                <w:rFonts w:ascii="Arial" w:cs="Arial" w:eastAsia="Arial" w:hAnsi="Arial"/>
                <w:b/>
                <w:bCs/>
                <w:color w:val="0D9488"/>
                <w:sz w:val="28"/>
                <w:szCs w:val="28"/>
              </w:rPr>
              <w:t xml:space="preserve">Phase 1 · Near-Term</w:t>
            </w:r>
          </w:p>
        </w:tc>
        <w:tc>
          <w:tcPr>
            <w:tcW w:type="dxa" w:w="3360"/>
            <w:tcBorders>
              <w:top w:val="single" w:color="CCFBF1" w:sz="1"/>
              <w:left w:val="single" w:color="CCFBF1" w:sz="1"/>
              <w:bottom w:val="single" w:color="CCFBF1" w:sz="1"/>
              <w:right w:val="single" w:color="CCFBF1" w:sz="1"/>
            </w:tcBorders>
            <w:shd w:fill="CCFBF1" w:val="clear"/>
            <w:tcMar>
              <w:top w:type="dxa" w:w="120"/>
              <w:left w:type="dxa" w:w="200"/>
              <w:bottom w:type="dxa" w:w="120"/>
              <w:right w:type="dxa" w:w="200"/>
            </w:tcMar>
            <w:vAlign w:val="center"/>
          </w:tcPr>
          <w:p>
            <w:pPr>
              <w:jc w:val="right"/>
            </w:pPr>
            <w:r>
              <w:rPr>
                <w:rFonts w:ascii="Arial" w:cs="Arial" w:eastAsia="Arial" w:hAnsi="Arial"/>
                <w:color w:val="0D9488"/>
                <w:sz w:val="20"/>
                <w:szCs w:val="20"/>
              </w:rPr>
              <w:t xml:space="preserve">Q1–Q2 2026</w:t>
            </w:r>
          </w:p>
        </w:tc>
      </w:tr>
    </w:tbl>
    <w:p>
      <w:pPr>
        <w:spacing w:after="0" w:before="120"/>
      </w:pPr>
    </w:p>
    <w:p>
      <w:pPr>
        <w:spacing w:after="60" w:before="60"/>
      </w:pPr>
      <w:r>
        <w:rPr>
          <w:rFonts w:ascii="Arial" w:cs="Arial" w:eastAsia="Arial" w:hAnsi="Arial"/>
          <w:color w:val="1E293B"/>
          <w:sz w:val="22"/>
          <w:szCs w:val="22"/>
        </w:rPr>
        <w:t xml:space="preserve">Tags, Sort Controls, Last Modified Date, Keyboard Shortcuts, Bulk Operations, Location Management, Free IPs in main list, Change History, Multi-Network/VLAN support, Backup &amp; Restore, Hide-Free-IPs toggle, Login Authentication (v1.9), and Proxmox one-shot import (v1.10) all shipped in v1.4–v1.10. The only remaining Phase 1 item is PWA/Offline Support.</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4560"/>
        <w:gridCol w:w="2000"/>
      </w:tblGrid>
      <w:tr>
        <w:tc>
          <w:tcPr>
            <w:tcW w:type="dxa" w:w="2800"/>
            <w:tcBorders>
              <w:top w:val="single" w:color="E2E8F0" w:sz="1"/>
              <w:left w:val="single" w:color="E2E8F0" w:sz="1"/>
              <w:bottom w:val="single" w:color="E2E8F0" w:sz="1"/>
              <w:right w:val="single" w:color="E2E8F0" w:sz="1"/>
            </w:tcBorders>
            <w:shd w:fill="1E293B" w:val="clear"/>
            <w:tcMar>
              <w:top w:type="dxa" w:w="80"/>
              <w:left w:type="dxa" w:w="120"/>
              <w:bottom w:type="dxa" w:w="80"/>
              <w:right w:type="dxa" w:w="120"/>
            </w:tcMar>
          </w:tcPr>
          <w:p>
            <w:r>
              <w:rPr>
                <w:rFonts w:ascii="Arial" w:cs="Arial" w:eastAsia="Arial" w:hAnsi="Arial"/>
                <w:b/>
                <w:bCs/>
                <w:color w:val="FFFFFF"/>
                <w:sz w:val="18"/>
                <w:szCs w:val="18"/>
              </w:rPr>
              <w:t xml:space="preserve">Feature</w:t>
            </w:r>
          </w:p>
        </w:tc>
        <w:tc>
          <w:tcPr>
            <w:tcW w:type="dxa" w:w="4560"/>
            <w:tcBorders>
              <w:top w:val="single" w:color="E2E8F0" w:sz="1"/>
              <w:left w:val="single" w:color="E2E8F0" w:sz="1"/>
              <w:bottom w:val="single" w:color="E2E8F0" w:sz="1"/>
              <w:right w:val="single" w:color="E2E8F0" w:sz="1"/>
            </w:tcBorders>
            <w:shd w:fill="1E293B" w:val="clear"/>
            <w:tcMar>
              <w:top w:type="dxa" w:w="80"/>
              <w:left w:type="dxa" w:w="120"/>
              <w:bottom w:type="dxa" w:w="80"/>
              <w:right w:type="dxa" w:w="120"/>
            </w:tcMar>
          </w:tcPr>
          <w:p>
            <w:r>
              <w:rPr>
                <w:rFonts w:ascii="Arial" w:cs="Arial" w:eastAsia="Arial" w:hAnsi="Arial"/>
                <w:b/>
                <w:bCs/>
                <w:color w:val="FFFFFF"/>
                <w:sz w:val="18"/>
                <w:szCs w:val="18"/>
              </w:rPr>
              <w:t xml:space="preserve">Description</w:t>
            </w:r>
          </w:p>
        </w:tc>
        <w:tc>
          <w:tcPr>
            <w:tcW w:type="dxa" w:w="2000"/>
            <w:tcBorders>
              <w:top w:val="single" w:color="E2E8F0" w:sz="1"/>
              <w:left w:val="single" w:color="E2E8F0" w:sz="1"/>
              <w:bottom w:val="single" w:color="E2E8F0" w:sz="1"/>
              <w:right w:val="single" w:color="E2E8F0" w:sz="1"/>
            </w:tcBorders>
            <w:shd w:fill="1E293B" w:val="clear"/>
            <w:tcMar>
              <w:top w:type="dxa" w:w="80"/>
              <w:left w:type="dxa" w:w="120"/>
              <w:bottom w:type="dxa" w:w="80"/>
              <w:right w:type="dxa" w:w="120"/>
            </w:tcMar>
          </w:tcPr>
          <w:p>
            <w:r>
              <w:rPr>
                <w:rFonts w:ascii="Arial" w:cs="Arial" w:eastAsia="Arial" w:hAnsi="Arial"/>
                <w:b/>
                <w:bCs/>
                <w:color w:val="FFFFFF"/>
                <w:sz w:val="18"/>
                <w:szCs w:val="18"/>
              </w:rPr>
              <w:t xml:space="preserve">Impact</w:t>
            </w:r>
          </w:p>
        </w:tc>
      </w:tr>
      <w:tr>
        <w:tc>
          <w:tcPr>
            <w:tcW w:type="dxa" w:w="28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PWA / Offline Support</w:t>
            </w:r>
          </w:p>
        </w:tc>
        <w:tc>
          <w:tcPr>
            <w:tcW w:type="dxa" w:w="45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1E293B"/>
                <w:sz w:val="20"/>
                <w:szCs w:val="20"/>
              </w:rPr>
              <w:t xml:space="preserve">Add a service worker so the app works offline and can be installed to the home screen like a native app.</w:t>
            </w:r>
          </w:p>
        </w:tc>
        <w:tc>
          <w:tcPr>
            <w:tcW w:type="dxa" w:w="2000"/>
            <w:tcBorders>
              <w:top w:val="single" w:color="E2E8F0" w:sz="1"/>
              <w:left w:val="single" w:color="E2E8F0" w:sz="1"/>
              <w:bottom w:val="single" w:color="E2E8F0" w:sz="1"/>
              <w:right w:val="single" w:color="E2E8F0" w:sz="1"/>
            </w:tcBorders>
            <w:shd w:fill="FFFBEB" w:val="clear"/>
            <w:tcMar>
              <w:top w:type="dxa" w:w="80"/>
              <w:left w:type="dxa" w:w="120"/>
              <w:bottom w:type="dxa" w:w="80"/>
              <w:right w:type="dxa" w:w="120"/>
            </w:tcMar>
          </w:tcPr>
          <w:p>
            <w:pPr>
              <w:jc w:val="center"/>
            </w:pPr>
            <w:r>
              <w:rPr>
                <w:rFonts w:ascii="Arial" w:cs="Arial" w:eastAsia="Arial" w:hAnsi="Arial"/>
                <w:b/>
                <w:bCs/>
                <w:color w:val="D97706"/>
                <w:sz w:val="18"/>
                <w:szCs w:val="18"/>
              </w:rPr>
              <w:t xml:space="preserve">MED</w:t>
            </w:r>
          </w:p>
        </w:tc>
      </w:tr>
    </w:tbl>
    <w:p>
      <w:pPr>
        <w:spacing w:after="0" w:before="160"/>
      </w:pPr>
    </w:p>
    <w:p>
      <w:pPr>
        <w:pStyle w:val="Heading1"/>
        <w:spacing w:after="160" w:before="400"/>
      </w:pPr>
      <w:r>
        <w:rPr>
          <w:rFonts w:ascii="Arial" w:cs="Arial" w:eastAsia="Arial" w:hAnsi="Arial"/>
          <w:b/>
          <w:bCs/>
          <w:color w:val="1E293B"/>
          <w:sz w:val="36"/>
          <w:szCs w:val="36"/>
        </w:rPr>
        <w:t xml:space="preserve">Phase 2 — Capability Expansion</w:t>
      </w:r>
    </w:p>
    <w:p>
      <w:pPr>
        <w:spacing w:after="0" w:before="80"/>
      </w:pP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6000"/>
        <w:gridCol w:w="3360"/>
      </w:tblGrid>
      <w:tr>
        <w:tc>
          <w:tcPr>
            <w:tcW w:type="dxa" w:w="6000"/>
            <w:tcBorders>
              <w:top w:val="single" w:color="F5F3FF" w:sz="1"/>
              <w:left w:val="single" w:color="F5F3FF" w:sz="1"/>
              <w:bottom w:val="single" w:color="F5F3FF" w:sz="1"/>
              <w:right w:val="single" w:color="F5F3FF" w:sz="1"/>
            </w:tcBorders>
            <w:shd w:fill="F5F3FF" w:val="clear"/>
            <w:tcMar>
              <w:top w:type="dxa" w:w="120"/>
              <w:left w:type="dxa" w:w="200"/>
              <w:bottom w:type="dxa" w:w="120"/>
              <w:right w:type="dxa" w:w="200"/>
            </w:tcMar>
          </w:tcPr>
          <w:p>
            <w:r>
              <w:rPr>
                <w:rFonts w:ascii="Arial" w:cs="Arial" w:eastAsia="Arial" w:hAnsi="Arial"/>
                <w:b/>
                <w:bCs/>
                <w:color w:val="7C3AED"/>
                <w:sz w:val="28"/>
                <w:szCs w:val="28"/>
              </w:rPr>
              <w:t xml:space="preserve">Phase 2 · Mid-Term</w:t>
            </w:r>
          </w:p>
        </w:tc>
        <w:tc>
          <w:tcPr>
            <w:tcW w:type="dxa" w:w="3360"/>
            <w:tcBorders>
              <w:top w:val="single" w:color="F5F3FF" w:sz="1"/>
              <w:left w:val="single" w:color="F5F3FF" w:sz="1"/>
              <w:bottom w:val="single" w:color="F5F3FF" w:sz="1"/>
              <w:right w:val="single" w:color="F5F3FF" w:sz="1"/>
            </w:tcBorders>
            <w:shd w:fill="F5F3FF" w:val="clear"/>
            <w:tcMar>
              <w:top w:type="dxa" w:w="120"/>
              <w:left w:type="dxa" w:w="200"/>
              <w:bottom w:type="dxa" w:w="120"/>
              <w:right w:type="dxa" w:w="200"/>
            </w:tcMar>
            <w:vAlign w:val="center"/>
          </w:tcPr>
          <w:p>
            <w:pPr>
              <w:jc w:val="right"/>
            </w:pPr>
            <w:r>
              <w:rPr>
                <w:rFonts w:ascii="Arial" w:cs="Arial" w:eastAsia="Arial" w:hAnsi="Arial"/>
                <w:color w:val="7C3AED"/>
                <w:sz w:val="20"/>
                <w:szCs w:val="20"/>
              </w:rPr>
              <w:t xml:space="preserve">Q3–Q4 2026</w:t>
            </w:r>
          </w:p>
        </w:tc>
      </w:tr>
    </w:tbl>
    <w:p>
      <w:pPr>
        <w:spacing w:after="0" w:before="120"/>
      </w:pPr>
    </w:p>
    <w:p>
      <w:pPr>
        <w:spacing w:after="60" w:before="60"/>
      </w:pPr>
      <w:r>
        <w:rPr>
          <w:rFonts w:ascii="Arial" w:cs="Arial" w:eastAsia="Arial" w:hAnsi="Arial"/>
          <w:color w:val="1E293B"/>
          <w:sz w:val="22"/>
          <w:szCs w:val="22"/>
        </w:rPr>
        <w:t xml:space="preserve">Phase 2 builds on a stable foundation to add real operational value — integrating the tool more tightly with the home lab infrastructure and moving beyond a simple reference list.</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4560"/>
        <w:gridCol w:w="2000"/>
      </w:tblGrid>
      <w:tr>
        <w:tc>
          <w:tcPr>
            <w:tcW w:type="dxa" w:w="2800"/>
            <w:tcBorders>
              <w:top w:val="single" w:color="E2E8F0" w:sz="1"/>
              <w:left w:val="single" w:color="E2E8F0" w:sz="1"/>
              <w:bottom w:val="single" w:color="E2E8F0" w:sz="1"/>
              <w:right w:val="single" w:color="E2E8F0" w:sz="1"/>
            </w:tcBorders>
            <w:shd w:fill="1E293B" w:val="clear"/>
            <w:tcMar>
              <w:top w:type="dxa" w:w="80"/>
              <w:left w:type="dxa" w:w="120"/>
              <w:bottom w:type="dxa" w:w="80"/>
              <w:right w:type="dxa" w:w="120"/>
            </w:tcMar>
          </w:tcPr>
          <w:p>
            <w:r>
              <w:rPr>
                <w:rFonts w:ascii="Arial" w:cs="Arial" w:eastAsia="Arial" w:hAnsi="Arial"/>
                <w:b/>
                <w:bCs/>
                <w:color w:val="FFFFFF"/>
                <w:sz w:val="18"/>
                <w:szCs w:val="18"/>
              </w:rPr>
              <w:t xml:space="preserve">Feature</w:t>
            </w:r>
          </w:p>
        </w:tc>
        <w:tc>
          <w:tcPr>
            <w:tcW w:type="dxa" w:w="4560"/>
            <w:tcBorders>
              <w:top w:val="single" w:color="E2E8F0" w:sz="1"/>
              <w:left w:val="single" w:color="E2E8F0" w:sz="1"/>
              <w:bottom w:val="single" w:color="E2E8F0" w:sz="1"/>
              <w:right w:val="single" w:color="E2E8F0" w:sz="1"/>
            </w:tcBorders>
            <w:shd w:fill="1E293B" w:val="clear"/>
            <w:tcMar>
              <w:top w:type="dxa" w:w="80"/>
              <w:left w:type="dxa" w:w="120"/>
              <w:bottom w:type="dxa" w:w="80"/>
              <w:right w:type="dxa" w:w="120"/>
            </w:tcMar>
          </w:tcPr>
          <w:p>
            <w:r>
              <w:rPr>
                <w:rFonts w:ascii="Arial" w:cs="Arial" w:eastAsia="Arial" w:hAnsi="Arial"/>
                <w:b/>
                <w:bCs/>
                <w:color w:val="FFFFFF"/>
                <w:sz w:val="18"/>
                <w:szCs w:val="18"/>
              </w:rPr>
              <w:t xml:space="preserve">Description</w:t>
            </w:r>
          </w:p>
        </w:tc>
        <w:tc>
          <w:tcPr>
            <w:tcW w:type="dxa" w:w="2000"/>
            <w:tcBorders>
              <w:top w:val="single" w:color="E2E8F0" w:sz="1"/>
              <w:left w:val="single" w:color="E2E8F0" w:sz="1"/>
              <w:bottom w:val="single" w:color="E2E8F0" w:sz="1"/>
              <w:right w:val="single" w:color="E2E8F0" w:sz="1"/>
            </w:tcBorders>
            <w:shd w:fill="1E293B" w:val="clear"/>
            <w:tcMar>
              <w:top w:type="dxa" w:w="80"/>
              <w:left w:type="dxa" w:w="120"/>
              <w:bottom w:type="dxa" w:w="80"/>
              <w:right w:type="dxa" w:w="120"/>
            </w:tcMar>
          </w:tcPr>
          <w:p>
            <w:r>
              <w:rPr>
                <w:rFonts w:ascii="Arial" w:cs="Arial" w:eastAsia="Arial" w:hAnsi="Arial"/>
                <w:b/>
                <w:bCs/>
                <w:color w:val="FFFFFF"/>
                <w:sz w:val="18"/>
                <w:szCs w:val="18"/>
              </w:rPr>
              <w:t xml:space="preserve">Impact</w:t>
            </w:r>
          </w:p>
        </w:tc>
      </w:tr>
      <w:tr>
        <w:tc>
          <w:tcPr>
            <w:tcW w:type="dxa" w:w="28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Multiple IPs per Host</w:t>
            </w:r>
          </w:p>
        </w:tc>
        <w:tc>
          <w:tcPr>
            <w:tcW w:type="dxa" w:w="45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1E293B"/>
                <w:sz w:val="20"/>
                <w:szCs w:val="20"/>
              </w:rPr>
              <w:t xml:space="preserve">Allow a single host/VM to have more than one IP address — e.g. a server on two VLANs, a VM with a management NIC and a data NIC, or a container with both a static and a DHCP lease. Prerequisite for VLAN support done properly.</w:t>
            </w:r>
          </w:p>
        </w:tc>
        <w:tc>
          <w:tcPr>
            <w:tcW w:type="dxa" w:w="2000"/>
            <w:tcBorders>
              <w:top w:val="single" w:color="E2E8F0" w:sz="1"/>
              <w:left w:val="single" w:color="E2E8F0" w:sz="1"/>
              <w:bottom w:val="single" w:color="E2E8F0" w:sz="1"/>
              <w:right w:val="single" w:color="E2E8F0" w:sz="1"/>
            </w:tcBorders>
            <w:shd w:fill="CCFBF1" w:val="clear"/>
            <w:tcMar>
              <w:top w:type="dxa" w:w="80"/>
              <w:left w:type="dxa" w:w="120"/>
              <w:bottom w:type="dxa" w:w="80"/>
              <w:right w:type="dxa" w:w="120"/>
            </w:tcMar>
          </w:tcPr>
          <w:p>
            <w:pPr>
              <w:jc w:val="center"/>
            </w:pPr>
            <w:r>
              <w:rPr>
                <w:rFonts w:ascii="Arial" w:cs="Arial" w:eastAsia="Arial" w:hAnsi="Arial"/>
                <w:b/>
                <w:bCs/>
                <w:color w:val="0D9488"/>
                <w:sz w:val="18"/>
                <w:szCs w:val="18"/>
              </w:rPr>
              <w:t xml:space="preserve">HIGH</w:t>
            </w:r>
          </w:p>
        </w:tc>
      </w:tr>
      <w:tr>
        <w:tc>
          <w:tcPr>
            <w:tcW w:type="dxa" w:w="28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VLAN &amp; Multi-Network ✅ Shipped v1.8</w:t>
            </w:r>
          </w:p>
        </w:tc>
        <w:tc>
          <w:tcPr>
            <w:tcW w:type="dxa" w:w="45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1E293B"/>
                <w:sz w:val="20"/>
                <w:szCs w:val="20"/>
              </w:rPr>
              <w:t xml:space="preserve">Tag each IP entry with one or more VLANs. Support multiple network ranges side-by-side (e.g. 192.168.0.x for LAN, 10.10.x.x for a trusted VLAN, 172.16.x.x for IoT). The Settings panel expands to manage each subnet independently.</w:t>
            </w:r>
          </w:p>
        </w:tc>
        <w:tc>
          <w:tcPr>
            <w:tcW w:type="dxa" w:w="2000"/>
            <w:tcBorders>
              <w:top w:val="single" w:color="E2E8F0" w:sz="1"/>
              <w:left w:val="single" w:color="E2E8F0" w:sz="1"/>
              <w:bottom w:val="single" w:color="E2E8F0" w:sz="1"/>
              <w:right w:val="single" w:color="E2E8F0" w:sz="1"/>
            </w:tcBorders>
            <w:shd w:fill="CCFBF1" w:val="clear"/>
            <w:tcMar>
              <w:top w:type="dxa" w:w="80"/>
              <w:left w:type="dxa" w:w="120"/>
              <w:bottom w:type="dxa" w:w="80"/>
              <w:right w:type="dxa" w:w="120"/>
            </w:tcMar>
          </w:tcPr>
          <w:p>
            <w:pPr>
              <w:jc w:val="center"/>
            </w:pPr>
            <w:r>
              <w:rPr>
                <w:rFonts w:ascii="Arial" w:cs="Arial" w:eastAsia="Arial" w:hAnsi="Arial"/>
                <w:b/>
                <w:bCs/>
                <w:color w:val="0D9488"/>
                <w:sz w:val="18"/>
                <w:szCs w:val="18"/>
              </w:rPr>
              <w:t xml:space="preserve">HIGH</w:t>
            </w:r>
          </w:p>
        </w:tc>
      </w:tr>
      <w:tr>
        <w:tc>
          <w:tcPr>
            <w:tcW w:type="dxa" w:w="28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Ping / Reachability</w:t>
            </w:r>
          </w:p>
        </w:tc>
        <w:tc>
          <w:tcPr>
            <w:tcW w:type="dxa" w:w="45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1E293B"/>
                <w:sz w:val="20"/>
                <w:szCs w:val="20"/>
              </w:rPr>
              <w:t xml:space="preserve">Run periodic ping sweeps (via the existing Node backend) to show which IPs are currently online with a live status indicator.</w:t>
            </w:r>
          </w:p>
        </w:tc>
        <w:tc>
          <w:tcPr>
            <w:tcW w:type="dxa" w:w="2000"/>
            <w:tcBorders>
              <w:top w:val="single" w:color="E2E8F0" w:sz="1"/>
              <w:left w:val="single" w:color="E2E8F0" w:sz="1"/>
              <w:bottom w:val="single" w:color="E2E8F0" w:sz="1"/>
              <w:right w:val="single" w:color="E2E8F0" w:sz="1"/>
            </w:tcBorders>
            <w:shd w:fill="CCFBF1" w:val="clear"/>
            <w:tcMar>
              <w:top w:type="dxa" w:w="80"/>
              <w:left w:type="dxa" w:w="120"/>
              <w:bottom w:type="dxa" w:w="80"/>
              <w:right w:type="dxa" w:w="120"/>
            </w:tcMar>
          </w:tcPr>
          <w:p>
            <w:pPr>
              <w:jc w:val="center"/>
            </w:pPr>
            <w:r>
              <w:rPr>
                <w:rFonts w:ascii="Arial" w:cs="Arial" w:eastAsia="Arial" w:hAnsi="Arial"/>
                <w:b/>
                <w:bCs/>
                <w:color w:val="0D9488"/>
                <w:sz w:val="18"/>
                <w:szCs w:val="18"/>
              </w:rPr>
              <w:t xml:space="preserve">HIGH</w:t>
            </w:r>
          </w:p>
        </w:tc>
      </w:tr>
      <w:tr>
        <w:tc>
          <w:tcPr>
            <w:tcW w:type="dxa" w:w="28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Proxmox Scheduled Sync ✅ Phase 1 shipped v1.10</w:t>
            </w:r>
          </w:p>
        </w:tc>
        <w:tc>
          <w:tcPr>
            <w:tcW w:type="dxa" w:w="45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1E293B"/>
                <w:sz w:val="20"/>
                <w:szCs w:val="20"/>
              </w:rPr>
              <w:t xml:space="preserve">Phase 1 (one-shot import) shipped in v1.10 — click the Proxmox button to discover all VMs and LXCs and import them instantly. Phase 2 adds a scheduled sync that automatically re-discovers and updates Proxmox entries on a configurable interval.</w:t>
            </w:r>
          </w:p>
        </w:tc>
        <w:tc>
          <w:tcPr>
            <w:tcW w:type="dxa" w:w="2000"/>
            <w:tcBorders>
              <w:top w:val="single" w:color="E2E8F0" w:sz="1"/>
              <w:left w:val="single" w:color="E2E8F0" w:sz="1"/>
              <w:bottom w:val="single" w:color="E2E8F0" w:sz="1"/>
              <w:right w:val="single" w:color="E2E8F0" w:sz="1"/>
            </w:tcBorders>
            <w:shd w:fill="CCFBF1" w:val="clear"/>
            <w:tcMar>
              <w:top w:type="dxa" w:w="80"/>
              <w:left w:type="dxa" w:w="120"/>
              <w:bottom w:type="dxa" w:w="80"/>
              <w:right w:type="dxa" w:w="120"/>
            </w:tcMar>
          </w:tcPr>
          <w:p>
            <w:pPr>
              <w:jc w:val="center"/>
            </w:pPr>
            <w:r>
              <w:rPr>
                <w:rFonts w:ascii="Arial" w:cs="Arial" w:eastAsia="Arial" w:hAnsi="Arial"/>
                <w:b/>
                <w:bCs/>
                <w:color w:val="0D9488"/>
                <w:sz w:val="18"/>
                <w:szCs w:val="18"/>
              </w:rPr>
              <w:t xml:space="preserve">HIGH</w:t>
            </w:r>
          </w:p>
        </w:tc>
      </w:tr>
      <w:tr>
        <w:tc>
          <w:tcPr>
            <w:tcW w:type="dxa" w:w="28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Service Health Check</w:t>
            </w:r>
          </w:p>
        </w:tc>
        <w:tc>
          <w:tcPr>
            <w:tcW w:type="dxa" w:w="45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1E293B"/>
                <w:sz w:val="20"/>
                <w:szCs w:val="20"/>
              </w:rPr>
              <w:t xml:space="preserve">HTTP probe configured services (Plex, Uptime, Pihole etc.) to show UP/DOWN badges on each card.</w:t>
            </w:r>
          </w:p>
        </w:tc>
        <w:tc>
          <w:tcPr>
            <w:tcW w:type="dxa" w:w="2000"/>
            <w:tcBorders>
              <w:top w:val="single" w:color="E2E8F0" w:sz="1"/>
              <w:left w:val="single" w:color="E2E8F0" w:sz="1"/>
              <w:bottom w:val="single" w:color="E2E8F0" w:sz="1"/>
              <w:right w:val="single" w:color="E2E8F0" w:sz="1"/>
            </w:tcBorders>
            <w:shd w:fill="CCFBF1" w:val="clear"/>
            <w:tcMar>
              <w:top w:type="dxa" w:w="80"/>
              <w:left w:type="dxa" w:w="120"/>
              <w:bottom w:type="dxa" w:w="80"/>
              <w:right w:type="dxa" w:w="120"/>
            </w:tcMar>
          </w:tcPr>
          <w:p>
            <w:pPr>
              <w:jc w:val="center"/>
            </w:pPr>
            <w:r>
              <w:rPr>
                <w:rFonts w:ascii="Arial" w:cs="Arial" w:eastAsia="Arial" w:hAnsi="Arial"/>
                <w:b/>
                <w:bCs/>
                <w:color w:val="0D9488"/>
                <w:sz w:val="18"/>
                <w:szCs w:val="18"/>
              </w:rPr>
              <w:t xml:space="preserve">HIGH</w:t>
            </w:r>
          </w:p>
        </w:tc>
      </w:tr>
      <w:tr>
        <w:tc>
          <w:tcPr>
            <w:tcW w:type="dxa" w:w="28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Pi-hole Import (v6)</w:t>
            </w:r>
          </w:p>
        </w:tc>
        <w:tc>
          <w:tcPr>
            <w:tcW w:type="dxa" w:w="45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1E293B"/>
                <w:sz w:val="20"/>
                <w:szCs w:val="20"/>
              </w:rPr>
              <w:t xml:space="preserve">One-shot import of Pi-hole v6 local DNS records via the Pi-hole v6 REST API — populates or enriches existing IP entries with hostnames already defined in Pi-hole. Proxied server-side to avoid CORS and TLS issues.</w:t>
            </w:r>
          </w:p>
        </w:tc>
        <w:tc>
          <w:tcPr>
            <w:tcW w:type="dxa" w:w="2000"/>
            <w:tcBorders>
              <w:top w:val="single" w:color="E2E8F0" w:sz="1"/>
              <w:left w:val="single" w:color="E2E8F0" w:sz="1"/>
              <w:bottom w:val="single" w:color="E2E8F0" w:sz="1"/>
              <w:right w:val="single" w:color="E2E8F0" w:sz="1"/>
            </w:tcBorders>
            <w:shd w:fill="CCFBF1" w:val="clear"/>
            <w:tcMar>
              <w:top w:type="dxa" w:w="80"/>
              <w:left w:type="dxa" w:w="120"/>
              <w:bottom w:type="dxa" w:w="80"/>
              <w:right w:type="dxa" w:w="120"/>
            </w:tcMar>
          </w:tcPr>
          <w:p>
            <w:pPr>
              <w:jc w:val="center"/>
            </w:pPr>
            <w:r>
              <w:rPr>
                <w:rFonts w:ascii="Arial" w:cs="Arial" w:eastAsia="Arial" w:hAnsi="Arial"/>
                <w:b/>
                <w:bCs/>
                <w:color w:val="0D9488"/>
                <w:sz w:val="18"/>
                <w:szCs w:val="18"/>
              </w:rPr>
              <w:t xml:space="preserve">HIGH</w:t>
            </w:r>
          </w:p>
        </w:tc>
      </w:tr>
      <w:tr>
        <w:tc>
          <w:tcPr>
            <w:tcW w:type="dxa" w:w="28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ARP Scan — One-Shot ✅ Shipped v1.11</w:t>
            </w:r>
          </w:p>
        </w:tc>
        <w:tc>
          <w:tcPr>
            <w:tcW w:type="dxa" w:w="45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1E293B"/>
                <w:sz w:val="20"/>
                <w:szCs w:val="20"/>
              </w:rPr>
              <w:t xml:space="preserve">On-demand ARP scan of the configured subnet, run server-side (lightweight — one broadcast packet per IP, completes in under a second for a /24). Returns IP, MAC address, and hostname where available. Cross-references against existing entries to highlight untracked devices and unclaimed IPs for easy import.</w:t>
            </w:r>
          </w:p>
        </w:tc>
        <w:tc>
          <w:tcPr>
            <w:tcW w:type="dxa" w:w="2000"/>
            <w:tcBorders>
              <w:top w:val="single" w:color="E2E8F0" w:sz="1"/>
              <w:left w:val="single" w:color="E2E8F0" w:sz="1"/>
              <w:bottom w:val="single" w:color="E2E8F0" w:sz="1"/>
              <w:right w:val="single" w:color="E2E8F0" w:sz="1"/>
            </w:tcBorders>
            <w:shd w:fill="CCFBF1" w:val="clear"/>
            <w:tcMar>
              <w:top w:type="dxa" w:w="80"/>
              <w:left w:type="dxa" w:w="120"/>
              <w:bottom w:type="dxa" w:w="80"/>
              <w:right w:type="dxa" w:w="120"/>
            </w:tcMar>
          </w:tcPr>
          <w:p>
            <w:pPr>
              <w:jc w:val="center"/>
            </w:pPr>
            <w:r>
              <w:rPr>
                <w:rFonts w:ascii="Arial" w:cs="Arial" w:eastAsia="Arial" w:hAnsi="Arial"/>
                <w:b/>
                <w:bCs/>
                <w:color w:val="0D9488"/>
                <w:sz w:val="18"/>
                <w:szCs w:val="18"/>
              </w:rPr>
              <w:t xml:space="preserve">HIGH</w:t>
            </w:r>
          </w:p>
        </w:tc>
      </w:tr>
      <w:tr>
        <w:tc>
          <w:tcPr>
            <w:tcW w:type="dxa" w:w="28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Change History / Audit ✅ Shipped v1.7</w:t>
            </w:r>
          </w:p>
        </w:tc>
        <w:tc>
          <w:tcPr>
            <w:tcW w:type="dxa" w:w="45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1E293B"/>
                <w:sz w:val="20"/>
                <w:szCs w:val="20"/>
              </w:rPr>
              <w:t xml:space="preserve">Log every edit with timestamp and previous value so you have a full history of IP assignments.</w:t>
            </w:r>
          </w:p>
        </w:tc>
        <w:tc>
          <w:tcPr>
            <w:tcW w:type="dxa" w:w="2000"/>
            <w:tcBorders>
              <w:top w:val="single" w:color="E2E8F0" w:sz="1"/>
              <w:left w:val="single" w:color="E2E8F0" w:sz="1"/>
              <w:bottom w:val="single" w:color="E2E8F0" w:sz="1"/>
              <w:right w:val="single" w:color="E2E8F0" w:sz="1"/>
            </w:tcBorders>
            <w:shd w:fill="FFFBEB" w:val="clear"/>
            <w:tcMar>
              <w:top w:type="dxa" w:w="80"/>
              <w:left w:type="dxa" w:w="120"/>
              <w:bottom w:type="dxa" w:w="80"/>
              <w:right w:type="dxa" w:w="120"/>
            </w:tcMar>
          </w:tcPr>
          <w:p>
            <w:pPr>
              <w:jc w:val="center"/>
            </w:pPr>
            <w:r>
              <w:rPr>
                <w:rFonts w:ascii="Arial" w:cs="Arial" w:eastAsia="Arial" w:hAnsi="Arial"/>
                <w:b/>
                <w:bCs/>
                <w:color w:val="D97706"/>
                <w:sz w:val="18"/>
                <w:szCs w:val="18"/>
              </w:rPr>
              <w:t xml:space="preserve">MED</w:t>
            </w:r>
          </w:p>
        </w:tc>
      </w:tr>
      <w:tr>
        <w:tc>
          <w:tcPr>
            <w:tcW w:type="dxa" w:w="28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Bulk Operations ✅ Shipped v1.7</w:t>
            </w:r>
          </w:p>
        </w:tc>
        <w:tc>
          <w:tcPr>
            <w:tcW w:type="dxa" w:w="45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1E293B"/>
                <w:sz w:val="20"/>
                <w:szCs w:val="20"/>
              </w:rPr>
              <w:t xml:space="preserve">Select multiple IPs to bulk-release, bulk-tag, or bulk-export — useful when decommissioning a set of containers.</w:t>
            </w:r>
          </w:p>
        </w:tc>
        <w:tc>
          <w:tcPr>
            <w:tcW w:type="dxa" w:w="2000"/>
            <w:tcBorders>
              <w:top w:val="single" w:color="E2E8F0" w:sz="1"/>
              <w:left w:val="single" w:color="E2E8F0" w:sz="1"/>
              <w:bottom w:val="single" w:color="E2E8F0" w:sz="1"/>
              <w:right w:val="single" w:color="E2E8F0" w:sz="1"/>
            </w:tcBorders>
            <w:shd w:fill="FFFBEB" w:val="clear"/>
            <w:tcMar>
              <w:top w:type="dxa" w:w="80"/>
              <w:left w:type="dxa" w:w="120"/>
              <w:bottom w:type="dxa" w:w="80"/>
              <w:right w:type="dxa" w:w="120"/>
            </w:tcMar>
          </w:tcPr>
          <w:p>
            <w:pPr>
              <w:jc w:val="center"/>
            </w:pPr>
            <w:r>
              <w:rPr>
                <w:rFonts w:ascii="Arial" w:cs="Arial" w:eastAsia="Arial" w:hAnsi="Arial"/>
                <w:b/>
                <w:bCs/>
                <w:color w:val="D97706"/>
                <w:sz w:val="18"/>
                <w:szCs w:val="18"/>
              </w:rPr>
              <w:t xml:space="preserve">MED</w:t>
            </w:r>
          </w:p>
        </w:tc>
      </w:tr>
      <w:tr>
        <w:tc>
          <w:tcPr>
            <w:tcW w:type="dxa" w:w="28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DNS Validation</w:t>
            </w:r>
          </w:p>
        </w:tc>
        <w:tc>
          <w:tcPr>
            <w:tcW w:type="dxa" w:w="45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1E293B"/>
                <w:sz w:val="20"/>
                <w:szCs w:val="20"/>
              </w:rPr>
              <w:t xml:space="preserve">Attempt to resolve the hostname for each entry and flag mismatches between the stored IP and the resolved address.</w:t>
            </w:r>
          </w:p>
        </w:tc>
        <w:tc>
          <w:tcPr>
            <w:tcW w:type="dxa" w:w="2000"/>
            <w:tcBorders>
              <w:top w:val="single" w:color="E2E8F0" w:sz="1"/>
              <w:left w:val="single" w:color="E2E8F0" w:sz="1"/>
              <w:bottom w:val="single" w:color="E2E8F0" w:sz="1"/>
              <w:right w:val="single" w:color="E2E8F0" w:sz="1"/>
            </w:tcBorders>
            <w:shd w:fill="FFFBEB" w:val="clear"/>
            <w:tcMar>
              <w:top w:type="dxa" w:w="80"/>
              <w:left w:type="dxa" w:w="120"/>
              <w:bottom w:type="dxa" w:w="80"/>
              <w:right w:type="dxa" w:w="120"/>
            </w:tcMar>
          </w:tcPr>
          <w:p>
            <w:pPr>
              <w:jc w:val="center"/>
            </w:pPr>
            <w:r>
              <w:rPr>
                <w:rFonts w:ascii="Arial" w:cs="Arial" w:eastAsia="Arial" w:hAnsi="Arial"/>
                <w:b/>
                <w:bCs/>
                <w:color w:val="D97706"/>
                <w:sz w:val="18"/>
                <w:szCs w:val="18"/>
              </w:rPr>
              <w:t xml:space="preserve">MED</w:t>
            </w:r>
          </w:p>
        </w:tc>
      </w:tr>
    </w:tbl>
    <w:p>
      <w:pPr>
        <w:spacing w:after="0" w:before="160"/>
      </w:pPr>
    </w:p>
    <w:p>
      <w:pPr>
        <w:pStyle w:val="Heading1"/>
        <w:spacing w:after="160" w:before="400"/>
      </w:pPr>
      <w:r>
        <w:rPr>
          <w:rFonts w:ascii="Arial" w:cs="Arial" w:eastAsia="Arial" w:hAnsi="Arial"/>
          <w:b/>
          <w:bCs/>
          <w:color w:val="1E293B"/>
          <w:sz w:val="36"/>
          <w:szCs w:val="36"/>
        </w:rPr>
        <w:t xml:space="preserve">iOS / iPad Native App</w:t>
      </w:r>
    </w:p>
    <w:p>
      <w:pPr>
        <w:spacing w:after="0" w:before="80"/>
      </w:pP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6000"/>
        <w:gridCol w:w="3360"/>
      </w:tblGrid>
      <w:tr>
        <w:tc>
          <w:tcPr>
            <w:tcW w:type="dxa" w:w="6000"/>
            <w:tcBorders>
              <w:top w:val="single" w:color="CCFBF1" w:sz="1"/>
              <w:left w:val="single" w:color="CCFBF1" w:sz="1"/>
              <w:bottom w:val="single" w:color="CCFBF1" w:sz="1"/>
              <w:right w:val="single" w:color="CCFBF1" w:sz="1"/>
            </w:tcBorders>
            <w:shd w:fill="CCFBF1" w:val="clear"/>
            <w:tcMar>
              <w:top w:type="dxa" w:w="120"/>
              <w:left w:type="dxa" w:w="200"/>
              <w:bottom w:type="dxa" w:w="120"/>
              <w:right w:type="dxa" w:w="200"/>
            </w:tcMar>
          </w:tcPr>
          <w:p>
            <w:r>
              <w:rPr>
                <w:rFonts w:ascii="Arial" w:cs="Arial" w:eastAsia="Arial" w:hAnsi="Arial"/>
                <w:b/>
                <w:bCs/>
                <w:color w:val="0D9488"/>
                <w:sz w:val="28"/>
                <w:szCs w:val="28"/>
              </w:rPr>
              <w:t xml:space="preserve">In Active Development</w:t>
            </w:r>
          </w:p>
        </w:tc>
        <w:tc>
          <w:tcPr>
            <w:tcW w:type="dxa" w:w="3360"/>
            <w:tcBorders>
              <w:top w:val="single" w:color="CCFBF1" w:sz="1"/>
              <w:left w:val="single" w:color="CCFBF1" w:sz="1"/>
              <w:bottom w:val="single" w:color="CCFBF1" w:sz="1"/>
              <w:right w:val="single" w:color="CCFBF1" w:sz="1"/>
            </w:tcBorders>
            <w:shd w:fill="CCFBF1" w:val="clear"/>
            <w:tcMar>
              <w:top w:type="dxa" w:w="120"/>
              <w:left w:type="dxa" w:w="200"/>
              <w:bottom w:type="dxa" w:w="120"/>
              <w:right w:type="dxa" w:w="200"/>
            </w:tcMar>
            <w:vAlign w:val="center"/>
          </w:tcPr>
          <w:p>
            <w:pPr>
              <w:jc w:val="right"/>
            </w:pPr>
            <w:r>
              <w:rPr>
                <w:rFonts w:ascii="Arial" w:cs="Arial" w:eastAsia="Arial" w:hAnsi="Arial"/>
                <w:color w:val="0D9488"/>
                <w:sz w:val="20"/>
                <w:szCs w:val="20"/>
              </w:rPr>
              <w:t xml:space="preserve">Q1 2026 →</w:t>
            </w:r>
          </w:p>
        </w:tc>
      </w:tr>
    </w:tbl>
    <w:p>
      <w:pPr>
        <w:spacing w:after="0" w:before="120"/>
      </w:pPr>
    </w:p>
    <w:p>
      <w:pPr>
        <w:spacing w:after="60" w:before="60"/>
      </w:pPr>
      <w:r>
        <w:rPr>
          <w:rFonts w:ascii="Arial" w:cs="Arial" w:eastAsia="Arial" w:hAnsi="Arial"/>
          <w:color w:val="1E293B"/>
          <w:sz w:val="22"/>
          <w:szCs w:val="22"/>
        </w:rPr>
        <w:t xml:space="preserve">A native SwiftUI iPad app is in active development alongside the web app. It connects to the same LXC Express API and targets iPadOS 26 with full Liquid Glass design language.</w:t>
      </w:r>
    </w:p>
    <w:p>
      <w:pPr>
        <w:spacing w:after="0" w:before="80"/>
      </w:pPr>
    </w:p>
    <w:p>
      <w:pPr>
        <w:pStyle w:val="ListParagraph"/>
        <w:numPr>
          <w:ilvl w:val="0"/>
          <w:numId w:val="2"/>
        </w:numPr>
        <w:spacing w:after="40" w:before="40"/>
      </w:pPr>
      <w:r>
        <w:rPr>
          <w:rFonts w:ascii="Arial" w:cs="Arial" w:eastAsia="Arial" w:hAnsi="Arial"/>
          <w:color w:val="1E293B"/>
          <w:sz w:val="22"/>
          <w:szCs w:val="22"/>
        </w:rPr>
        <w:t xml:space="preserve">NavigationSplitView layout — persistent sidebar with IP list, full detail pane on the right</w:t>
      </w:r>
    </w:p>
    <w:p>
      <w:pPr>
        <w:pStyle w:val="ListParagraph"/>
        <w:numPr>
          <w:ilvl w:val="0"/>
          <w:numId w:val="2"/>
        </w:numPr>
        <w:spacing w:after="40" w:before="40"/>
      </w:pPr>
      <w:r>
        <w:rPr>
          <w:rFonts w:ascii="Arial" w:cs="Arial" w:eastAsia="Arial" w:hAnsi="Arial"/>
          <w:color w:val="1E293B"/>
          <w:sz w:val="22"/>
          <w:szCs w:val="22"/>
        </w:rPr>
        <w:t xml:space="preserve">Liquid Glass UI — filter bar uses GlassEffectContainer; info cards and tags use .glassEffect(); header uses MeshGradient with type-specific colour palettes</w:t>
      </w:r>
    </w:p>
    <w:p>
      <w:pPr>
        <w:pStyle w:val="ListParagraph"/>
        <w:numPr>
          <w:ilvl w:val="0"/>
          <w:numId w:val="2"/>
        </w:numPr>
        <w:spacing w:after="40" w:before="40"/>
      </w:pPr>
      <w:r>
        <w:rPr>
          <w:rFonts w:ascii="Arial" w:cs="Arial" w:eastAsia="Arial" w:hAnsi="Arial"/>
          <w:color w:val="1E293B"/>
          <w:sz w:val="22"/>
          <w:szCs w:val="22"/>
        </w:rPr>
        <w:t xml:space="preserve">DHCP / Fixed / Free / Reserved / Static IP badges with coloured status dot per row</w:t>
      </w:r>
    </w:p>
    <w:p>
      <w:pPr>
        <w:pStyle w:val="ListParagraph"/>
        <w:numPr>
          <w:ilvl w:val="0"/>
          <w:numId w:val="2"/>
        </w:numPr>
        <w:spacing w:after="40" w:before="40"/>
      </w:pPr>
      <w:r>
        <w:rPr>
          <w:rFonts w:ascii="Arial" w:cs="Arial" w:eastAsia="Arial" w:hAnsi="Arial"/>
          <w:color w:val="1E293B"/>
          <w:sz w:val="22"/>
          <w:szCs w:val="22"/>
        </w:rPr>
        <w:t xml:space="preserve">Tag filtering — filter chips in the bottom bar; tapping a tag in the detail view filters the sidebar instantly</w:t>
      </w:r>
    </w:p>
    <w:p>
      <w:pPr>
        <w:pStyle w:val="ListParagraph"/>
        <w:numPr>
          <w:ilvl w:val="0"/>
          <w:numId w:val="2"/>
        </w:numPr>
        <w:spacing w:after="40" w:before="40"/>
      </w:pPr>
      <w:r>
        <w:rPr>
          <w:rFonts w:ascii="Arial" w:cs="Arial" w:eastAsia="Arial" w:hAnsi="Arial"/>
          <w:color w:val="1E293B"/>
          <w:sz w:val="22"/>
          <w:szCs w:val="22"/>
        </w:rPr>
        <w:t xml:space="preserve">Claim This IP and Release IP flows with confirmation dialog</w:t>
      </w:r>
    </w:p>
    <w:p>
      <w:pPr>
        <w:pStyle w:val="ListParagraph"/>
        <w:numPr>
          <w:ilvl w:val="0"/>
          <w:numId w:val="2"/>
        </w:numPr>
        <w:spacing w:after="40" w:before="40"/>
      </w:pPr>
      <w:r>
        <w:rPr>
          <w:rFonts w:ascii="Arial" w:cs="Arial" w:eastAsia="Arial" w:hAnsi="Arial"/>
          <w:color w:val="1E293B"/>
          <w:sz w:val="22"/>
          <w:szCs w:val="22"/>
        </w:rPr>
        <w:t xml:space="preserve">Edit sheet — tag chip editor, type and location pickers, destructive release button</w:t>
      </w:r>
    </w:p>
    <w:p>
      <w:pPr>
        <w:pStyle w:val="ListParagraph"/>
        <w:numPr>
          <w:ilvl w:val="0"/>
          <w:numId w:val="2"/>
        </w:numPr>
        <w:spacing w:after="40" w:before="40"/>
      </w:pPr>
      <w:r>
        <w:rPr>
          <w:rFonts w:ascii="Arial" w:cs="Arial" w:eastAsia="Arial" w:hAnsi="Arial"/>
          <w:color w:val="1E293B"/>
          <w:sz w:val="22"/>
          <w:szCs w:val="22"/>
        </w:rPr>
        <w:t xml:space="preserve">Server Settings — configurable API endpoint with live connection test</w:t>
      </w:r>
    </w:p>
    <w:p>
      <w:pPr>
        <w:pStyle w:val="ListParagraph"/>
        <w:numPr>
          <w:ilvl w:val="0"/>
          <w:numId w:val="2"/>
        </w:numPr>
        <w:spacing w:after="40" w:before="40"/>
      </w:pPr>
      <w:r>
        <w:rPr>
          <w:rFonts w:ascii="Arial" w:cs="Arial" w:eastAsia="Arial" w:hAnsi="Arial"/>
          <w:color w:val="1E293B"/>
          <w:sz w:val="22"/>
          <w:szCs w:val="22"/>
        </w:rPr>
        <w:t xml:space="preserve">Pull-to-refresh, save indicator, and offline-aware connection status dot</w:t>
      </w:r>
    </w:p>
    <w:p>
      <w:pPr>
        <w:spacing w:after="0" w:before="120"/>
      </w:pPr>
    </w:p>
    <w:p>
      <w:pPr>
        <w:spacing w:after="60" w:before="60"/>
      </w:pPr>
      <w:r>
        <w:rPr>
          <w:rFonts w:ascii="Arial" w:cs="Arial" w:eastAsia="Arial" w:hAnsi="Arial"/>
          <w:color w:val="1E293B"/>
          <w:sz w:val="22"/>
          <w:szCs w:val="22"/>
        </w:rPr>
        <w:t xml:space="preserve">Remaining work before first TestFlight build:</w:t>
      </w:r>
    </w:p>
    <w:p>
      <w:pPr>
        <w:spacing w:after="0" w:before="60"/>
      </w:pPr>
    </w:p>
    <w:p>
      <w:pPr>
        <w:pStyle w:val="ListParagraph"/>
        <w:numPr>
          <w:ilvl w:val="0"/>
          <w:numId w:val="2"/>
        </w:numPr>
        <w:spacing w:after="40" w:before="40"/>
      </w:pPr>
      <w:r>
        <w:rPr>
          <w:rFonts w:ascii="Arial" w:cs="Arial" w:eastAsia="Arial" w:hAnsi="Arial"/>
          <w:color w:val="1E293B"/>
          <w:sz w:val="22"/>
          <w:szCs w:val="22"/>
        </w:rPr>
        <w:t xml:space="preserve">App icon and launch screen design</w:t>
      </w:r>
    </w:p>
    <w:p>
      <w:pPr>
        <w:pStyle w:val="ListParagraph"/>
        <w:numPr>
          <w:ilvl w:val="0"/>
          <w:numId w:val="2"/>
        </w:numPr>
        <w:spacing w:after="40" w:before="40"/>
      </w:pPr>
      <w:r>
        <w:rPr>
          <w:rFonts w:ascii="Arial" w:cs="Arial" w:eastAsia="Arial" w:hAnsi="Arial"/>
          <w:color w:val="1E293B"/>
          <w:sz w:val="22"/>
          <w:szCs w:val="22"/>
        </w:rPr>
        <w:t xml:space="preserve">Real device testing on iPad (UI refinement from simulator feedback)</w:t>
      </w:r>
    </w:p>
    <w:p>
      <w:pPr>
        <w:pStyle w:val="ListParagraph"/>
        <w:numPr>
          <w:ilvl w:val="0"/>
          <w:numId w:val="2"/>
        </w:numPr>
        <w:spacing w:after="40" w:before="40"/>
      </w:pPr>
      <w:r>
        <w:rPr>
          <w:rFonts w:ascii="Arial" w:cs="Arial" w:eastAsia="Arial" w:hAnsi="Arial"/>
          <w:color w:val="1E293B"/>
          <w:sz w:val="22"/>
          <w:szCs w:val="22"/>
        </w:rPr>
        <w:t xml:space="preserve">Deep link support — open a specific IP directly from a URL</w:t>
      </w:r>
    </w:p>
    <w:p>
      <w:pPr>
        <w:pStyle w:val="ListParagraph"/>
        <w:numPr>
          <w:ilvl w:val="0"/>
          <w:numId w:val="2"/>
        </w:numPr>
        <w:spacing w:after="40" w:before="40"/>
      </w:pPr>
      <w:r>
        <w:rPr>
          <w:rFonts w:ascii="Arial" w:cs="Arial" w:eastAsia="Arial" w:hAnsi="Arial"/>
          <w:color w:val="1E293B"/>
          <w:sz w:val="22"/>
          <w:szCs w:val="22"/>
        </w:rPr>
        <w:t xml:space="preserve">Siri Shortcuts integration — 'What's free on my network?'</w:t>
      </w:r>
    </w:p>
    <w:p>
      <w:pPr>
        <w:pStyle w:val="ListParagraph"/>
        <w:numPr>
          <w:ilvl w:val="0"/>
          <w:numId w:val="2"/>
        </w:numPr>
        <w:spacing w:after="40" w:before="40"/>
      </w:pPr>
      <w:r>
        <w:rPr>
          <w:rFonts w:ascii="Arial" w:cs="Arial" w:eastAsia="Arial" w:hAnsi="Arial"/>
          <w:color w:val="1E293B"/>
          <w:sz w:val="22"/>
          <w:szCs w:val="22"/>
        </w:rPr>
        <w:t xml:space="preserve">Haptic feedback on Claim / Release actions</w:t>
      </w:r>
    </w:p>
    <w:p>
      <w:pPr>
        <w:pStyle w:val="ListParagraph"/>
        <w:numPr>
          <w:ilvl w:val="0"/>
          <w:numId w:val="2"/>
        </w:numPr>
        <w:spacing w:after="40" w:before="40"/>
      </w:pPr>
      <w:r>
        <w:rPr>
          <w:rFonts w:ascii="Arial" w:cs="Arial" w:eastAsia="Arial" w:hAnsi="Arial"/>
          <w:color w:val="1E293B"/>
          <w:sz w:val="22"/>
          <w:szCs w:val="22"/>
        </w:rPr>
        <w:t xml:space="preserve">TestFlight distribution for household testers</w:t>
      </w:r>
    </w:p>
    <w:p>
      <w:pPr>
        <w:spacing w:after="0" w:before="160"/>
      </w:pPr>
    </w:p>
    <w:p>
      <w:pPr>
        <w:pStyle w:val="Heading1"/>
        <w:spacing w:after="160" w:before="400"/>
      </w:pPr>
      <w:r>
        <w:rPr>
          <w:rFonts w:ascii="Arial" w:cs="Arial" w:eastAsia="Arial" w:hAnsi="Arial"/>
          <w:b/>
          <w:bCs/>
          <w:color w:val="1E293B"/>
          <w:sz w:val="36"/>
          <w:szCs w:val="36"/>
        </w:rPr>
        <w:t xml:space="preserve">Phase 3 — Network Platform Vision</w:t>
      </w:r>
    </w:p>
    <w:p>
      <w:pPr>
        <w:spacing w:after="0" w:before="80"/>
      </w:pP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6000"/>
        <w:gridCol w:w="3360"/>
      </w:tblGrid>
      <w:tr>
        <w:tc>
          <w:tcPr>
            <w:tcW w:type="dxa" w:w="6000"/>
            <w:tcBorders>
              <w:top w:val="single" w:color="EFF6FF" w:sz="1"/>
              <w:left w:val="single" w:color="EFF6FF" w:sz="1"/>
              <w:bottom w:val="single" w:color="EFF6FF" w:sz="1"/>
              <w:right w:val="single" w:color="EFF6FF" w:sz="1"/>
            </w:tcBorders>
            <w:shd w:fill="EFF6FF" w:val="clear"/>
            <w:tcMar>
              <w:top w:type="dxa" w:w="120"/>
              <w:left w:type="dxa" w:w="200"/>
              <w:bottom w:type="dxa" w:w="120"/>
              <w:right w:type="dxa" w:w="200"/>
            </w:tcMar>
          </w:tcPr>
          <w:p>
            <w:r>
              <w:rPr>
                <w:rFonts w:ascii="Arial" w:cs="Arial" w:eastAsia="Arial" w:hAnsi="Arial"/>
                <w:b/>
                <w:bCs/>
                <w:color w:val="1D4ED8"/>
                <w:sz w:val="28"/>
                <w:szCs w:val="28"/>
              </w:rPr>
              <w:t xml:space="preserve">Phase 3 · Longer-Term Vision</w:t>
            </w:r>
          </w:p>
        </w:tc>
        <w:tc>
          <w:tcPr>
            <w:tcW w:type="dxa" w:w="3360"/>
            <w:tcBorders>
              <w:top w:val="single" w:color="EFF6FF" w:sz="1"/>
              <w:left w:val="single" w:color="EFF6FF" w:sz="1"/>
              <w:bottom w:val="single" w:color="EFF6FF" w:sz="1"/>
              <w:right w:val="single" w:color="EFF6FF" w:sz="1"/>
            </w:tcBorders>
            <w:shd w:fill="EFF6FF" w:val="clear"/>
            <w:tcMar>
              <w:top w:type="dxa" w:w="120"/>
              <w:left w:type="dxa" w:w="200"/>
              <w:bottom w:type="dxa" w:w="120"/>
              <w:right w:type="dxa" w:w="200"/>
            </w:tcMar>
            <w:vAlign w:val="center"/>
          </w:tcPr>
          <w:p>
            <w:pPr>
              <w:jc w:val="right"/>
            </w:pPr>
            <w:r>
              <w:rPr>
                <w:rFonts w:ascii="Arial" w:cs="Arial" w:eastAsia="Arial" w:hAnsi="Arial"/>
                <w:color w:val="1D4ED8"/>
                <w:sz w:val="20"/>
                <w:szCs w:val="20"/>
              </w:rPr>
              <w:t xml:space="preserve">2027+</w:t>
            </w:r>
          </w:p>
        </w:tc>
      </w:tr>
    </w:tbl>
    <w:p>
      <w:pPr>
        <w:spacing w:after="0" w:before="120"/>
      </w:pPr>
    </w:p>
    <w:p>
      <w:pPr>
        <w:spacing w:after="60" w:before="60"/>
      </w:pPr>
      <w:r>
        <w:rPr>
          <w:rFonts w:ascii="Arial" w:cs="Arial" w:eastAsia="Arial" w:hAnsi="Arial"/>
          <w:color w:val="1E293B"/>
          <w:sz w:val="22"/>
          <w:szCs w:val="22"/>
        </w:rPr>
        <w:t xml:space="preserve">Phase 3 represents the longer-term ambition: transforming the IP manager into a full home network management dashboard. These features require more infrastructure investment but unlock significantly more value.</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4560"/>
        <w:gridCol w:w="2000"/>
      </w:tblGrid>
      <w:tr>
        <w:tc>
          <w:tcPr>
            <w:tcW w:type="dxa" w:w="2800"/>
            <w:tcBorders>
              <w:top w:val="single" w:color="E2E8F0" w:sz="1"/>
              <w:left w:val="single" w:color="E2E8F0" w:sz="1"/>
              <w:bottom w:val="single" w:color="E2E8F0" w:sz="1"/>
              <w:right w:val="single" w:color="E2E8F0" w:sz="1"/>
            </w:tcBorders>
            <w:shd w:fill="1E293B" w:val="clear"/>
            <w:tcMar>
              <w:top w:type="dxa" w:w="80"/>
              <w:left w:type="dxa" w:w="120"/>
              <w:bottom w:type="dxa" w:w="80"/>
              <w:right w:type="dxa" w:w="120"/>
            </w:tcMar>
          </w:tcPr>
          <w:p>
            <w:r>
              <w:rPr>
                <w:rFonts w:ascii="Arial" w:cs="Arial" w:eastAsia="Arial" w:hAnsi="Arial"/>
                <w:b/>
                <w:bCs/>
                <w:color w:val="FFFFFF"/>
                <w:sz w:val="18"/>
                <w:szCs w:val="18"/>
              </w:rPr>
              <w:t xml:space="preserve">Feature</w:t>
            </w:r>
          </w:p>
        </w:tc>
        <w:tc>
          <w:tcPr>
            <w:tcW w:type="dxa" w:w="4560"/>
            <w:tcBorders>
              <w:top w:val="single" w:color="E2E8F0" w:sz="1"/>
              <w:left w:val="single" w:color="E2E8F0" w:sz="1"/>
              <w:bottom w:val="single" w:color="E2E8F0" w:sz="1"/>
              <w:right w:val="single" w:color="E2E8F0" w:sz="1"/>
            </w:tcBorders>
            <w:shd w:fill="1E293B" w:val="clear"/>
            <w:tcMar>
              <w:top w:type="dxa" w:w="80"/>
              <w:left w:type="dxa" w:w="120"/>
              <w:bottom w:type="dxa" w:w="80"/>
              <w:right w:type="dxa" w:w="120"/>
            </w:tcMar>
          </w:tcPr>
          <w:p>
            <w:r>
              <w:rPr>
                <w:rFonts w:ascii="Arial" w:cs="Arial" w:eastAsia="Arial" w:hAnsi="Arial"/>
                <w:b/>
                <w:bCs/>
                <w:color w:val="FFFFFF"/>
                <w:sz w:val="18"/>
                <w:szCs w:val="18"/>
              </w:rPr>
              <w:t xml:space="preserve">Description</w:t>
            </w:r>
          </w:p>
        </w:tc>
        <w:tc>
          <w:tcPr>
            <w:tcW w:type="dxa" w:w="2000"/>
            <w:tcBorders>
              <w:top w:val="single" w:color="E2E8F0" w:sz="1"/>
              <w:left w:val="single" w:color="E2E8F0" w:sz="1"/>
              <w:bottom w:val="single" w:color="E2E8F0" w:sz="1"/>
              <w:right w:val="single" w:color="E2E8F0" w:sz="1"/>
            </w:tcBorders>
            <w:shd w:fill="1E293B" w:val="clear"/>
            <w:tcMar>
              <w:top w:type="dxa" w:w="80"/>
              <w:left w:type="dxa" w:w="120"/>
              <w:bottom w:type="dxa" w:w="80"/>
              <w:right w:type="dxa" w:w="120"/>
            </w:tcMar>
          </w:tcPr>
          <w:p>
            <w:r>
              <w:rPr>
                <w:rFonts w:ascii="Arial" w:cs="Arial" w:eastAsia="Arial" w:hAnsi="Arial"/>
                <w:b/>
                <w:bCs/>
                <w:color w:val="FFFFFF"/>
                <w:sz w:val="18"/>
                <w:szCs w:val="18"/>
              </w:rPr>
              <w:t xml:space="preserve">Impact</w:t>
            </w:r>
          </w:p>
        </w:tc>
      </w:tr>
      <w:tr>
        <w:tc>
          <w:tcPr>
            <w:tcW w:type="dxa" w:w="28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Network Topology Map</w:t>
            </w:r>
          </w:p>
        </w:tc>
        <w:tc>
          <w:tcPr>
            <w:tcW w:type="dxa" w:w="45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1E293B"/>
                <w:sz w:val="20"/>
                <w:szCs w:val="20"/>
              </w:rPr>
              <w:t xml:space="preserve">Visual diagram of the network — nodes, switches, access points and links — auto-generated from the data.</w:t>
            </w:r>
          </w:p>
        </w:tc>
        <w:tc>
          <w:tcPr>
            <w:tcW w:type="dxa" w:w="2000"/>
            <w:tcBorders>
              <w:top w:val="single" w:color="E2E8F0" w:sz="1"/>
              <w:left w:val="single" w:color="E2E8F0" w:sz="1"/>
              <w:bottom w:val="single" w:color="E2E8F0" w:sz="1"/>
              <w:right w:val="single" w:color="E2E8F0" w:sz="1"/>
            </w:tcBorders>
            <w:shd w:fill="CCFBF1" w:val="clear"/>
            <w:tcMar>
              <w:top w:type="dxa" w:w="80"/>
              <w:left w:type="dxa" w:w="120"/>
              <w:bottom w:type="dxa" w:w="80"/>
              <w:right w:type="dxa" w:w="120"/>
            </w:tcMar>
          </w:tcPr>
          <w:p>
            <w:pPr>
              <w:jc w:val="center"/>
            </w:pPr>
            <w:r>
              <w:rPr>
                <w:rFonts w:ascii="Arial" w:cs="Arial" w:eastAsia="Arial" w:hAnsi="Arial"/>
                <w:b/>
                <w:bCs/>
                <w:color w:val="0D9488"/>
                <w:sz w:val="18"/>
                <w:szCs w:val="18"/>
              </w:rPr>
              <w:t xml:space="preserve">HIGH</w:t>
            </w:r>
          </w:p>
        </w:tc>
      </w:tr>
      <w:tr>
        <w:tc>
          <w:tcPr>
            <w:tcW w:type="dxa" w:w="28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Uptime &amp; Alerts</w:t>
            </w:r>
          </w:p>
        </w:tc>
        <w:tc>
          <w:tcPr>
            <w:tcW w:type="dxa" w:w="45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1E293B"/>
                <w:sz w:val="20"/>
                <w:szCs w:val="20"/>
              </w:rPr>
              <w:t xml:space="preserve">Push notifications (via NTFY, which is already running at .215) when services go down or come back up.</w:t>
            </w:r>
          </w:p>
        </w:tc>
        <w:tc>
          <w:tcPr>
            <w:tcW w:type="dxa" w:w="2000"/>
            <w:tcBorders>
              <w:top w:val="single" w:color="E2E8F0" w:sz="1"/>
              <w:left w:val="single" w:color="E2E8F0" w:sz="1"/>
              <w:bottom w:val="single" w:color="E2E8F0" w:sz="1"/>
              <w:right w:val="single" w:color="E2E8F0" w:sz="1"/>
            </w:tcBorders>
            <w:shd w:fill="CCFBF1" w:val="clear"/>
            <w:tcMar>
              <w:top w:type="dxa" w:w="80"/>
              <w:left w:type="dxa" w:w="120"/>
              <w:bottom w:type="dxa" w:w="80"/>
              <w:right w:type="dxa" w:w="120"/>
            </w:tcMar>
          </w:tcPr>
          <w:p>
            <w:pPr>
              <w:jc w:val="center"/>
            </w:pPr>
            <w:r>
              <w:rPr>
                <w:rFonts w:ascii="Arial" w:cs="Arial" w:eastAsia="Arial" w:hAnsi="Arial"/>
                <w:b/>
                <w:bCs/>
                <w:color w:val="0D9488"/>
                <w:sz w:val="18"/>
                <w:szCs w:val="18"/>
              </w:rPr>
              <w:t xml:space="preserve">HIGH</w:t>
            </w:r>
          </w:p>
        </w:tc>
      </w:tr>
      <w:tr>
        <w:tc>
          <w:tcPr>
            <w:tcW w:type="dxa" w:w="28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REST API</w:t>
            </w:r>
          </w:p>
        </w:tc>
        <w:tc>
          <w:tcPr>
            <w:tcW w:type="dxa" w:w="45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1E293B"/>
                <w:sz w:val="20"/>
                <w:szCs w:val="20"/>
              </w:rPr>
              <w:t xml:space="preserve">Expose a simple API so other tools (Home Assistant, scripts) can query or update IP assignments programmatically.</w:t>
            </w:r>
          </w:p>
        </w:tc>
        <w:tc>
          <w:tcPr>
            <w:tcW w:type="dxa" w:w="2000"/>
            <w:tcBorders>
              <w:top w:val="single" w:color="E2E8F0" w:sz="1"/>
              <w:left w:val="single" w:color="E2E8F0" w:sz="1"/>
              <w:bottom w:val="single" w:color="E2E8F0" w:sz="1"/>
              <w:right w:val="single" w:color="E2E8F0" w:sz="1"/>
            </w:tcBorders>
            <w:shd w:fill="CCFBF1" w:val="clear"/>
            <w:tcMar>
              <w:top w:type="dxa" w:w="80"/>
              <w:left w:type="dxa" w:w="120"/>
              <w:bottom w:type="dxa" w:w="80"/>
              <w:right w:type="dxa" w:w="120"/>
            </w:tcMar>
          </w:tcPr>
          <w:p>
            <w:pPr>
              <w:jc w:val="center"/>
            </w:pPr>
            <w:r>
              <w:rPr>
                <w:rFonts w:ascii="Arial" w:cs="Arial" w:eastAsia="Arial" w:hAnsi="Arial"/>
                <w:b/>
                <w:bCs/>
                <w:color w:val="0D9488"/>
                <w:sz w:val="18"/>
                <w:szCs w:val="18"/>
              </w:rPr>
              <w:t xml:space="preserve">HIGH</w:t>
            </w:r>
          </w:p>
        </w:tc>
      </w:tr>
      <w:tr>
        <w:tc>
          <w:tcPr>
            <w:tcW w:type="dxa" w:w="28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Network Scanner</w:t>
            </w:r>
          </w:p>
        </w:tc>
        <w:tc>
          <w:tcPr>
            <w:tcW w:type="dxa" w:w="45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1E293B"/>
                <w:sz w:val="20"/>
                <w:szCs w:val="20"/>
              </w:rPr>
              <w:t xml:space="preserve">Active ARP/nmap scan to detect rogue devices — anything on the network that is not in the manager flags as Unknown.</w:t>
            </w:r>
          </w:p>
        </w:tc>
        <w:tc>
          <w:tcPr>
            <w:tcW w:type="dxa" w:w="2000"/>
            <w:tcBorders>
              <w:top w:val="single" w:color="E2E8F0" w:sz="1"/>
              <w:left w:val="single" w:color="E2E8F0" w:sz="1"/>
              <w:bottom w:val="single" w:color="E2E8F0" w:sz="1"/>
              <w:right w:val="single" w:color="E2E8F0" w:sz="1"/>
            </w:tcBorders>
            <w:shd w:fill="FFFBEB" w:val="clear"/>
            <w:tcMar>
              <w:top w:type="dxa" w:w="80"/>
              <w:left w:type="dxa" w:w="120"/>
              <w:bottom w:type="dxa" w:w="80"/>
              <w:right w:type="dxa" w:w="120"/>
            </w:tcMar>
          </w:tcPr>
          <w:p>
            <w:pPr>
              <w:jc w:val="center"/>
            </w:pPr>
            <w:r>
              <w:rPr>
                <w:rFonts w:ascii="Arial" w:cs="Arial" w:eastAsia="Arial" w:hAnsi="Arial"/>
                <w:b/>
                <w:bCs/>
                <w:color w:val="D97706"/>
                <w:sz w:val="18"/>
                <w:szCs w:val="18"/>
              </w:rPr>
              <w:t xml:space="preserve">MED</w:t>
            </w:r>
          </w:p>
        </w:tc>
      </w:tr>
      <w:tr>
        <w:tc>
          <w:tcPr>
            <w:tcW w:type="dxa" w:w="28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Bandwidth Monitoring</w:t>
            </w:r>
          </w:p>
        </w:tc>
        <w:tc>
          <w:tcPr>
            <w:tcW w:type="dxa" w:w="45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1E293B"/>
                <w:sz w:val="20"/>
                <w:szCs w:val="20"/>
              </w:rPr>
              <w:t xml:space="preserve">Per-device traffic graphs using data from the Unifi controller or a router tap.</w:t>
            </w:r>
          </w:p>
        </w:tc>
        <w:tc>
          <w:tcPr>
            <w:tcW w:type="dxa" w:w="2000"/>
            <w:tcBorders>
              <w:top w:val="single" w:color="E2E8F0" w:sz="1"/>
              <w:left w:val="single" w:color="E2E8F0" w:sz="1"/>
              <w:bottom w:val="single" w:color="E2E8F0" w:sz="1"/>
              <w:right w:val="single" w:color="E2E8F0" w:sz="1"/>
            </w:tcBorders>
            <w:shd w:fill="FFFBEB" w:val="clear"/>
            <w:tcMar>
              <w:top w:type="dxa" w:w="80"/>
              <w:left w:type="dxa" w:w="120"/>
              <w:bottom w:type="dxa" w:w="80"/>
              <w:right w:type="dxa" w:w="120"/>
            </w:tcMar>
          </w:tcPr>
          <w:p>
            <w:pPr>
              <w:jc w:val="center"/>
            </w:pPr>
            <w:r>
              <w:rPr>
                <w:rFonts w:ascii="Arial" w:cs="Arial" w:eastAsia="Arial" w:hAnsi="Arial"/>
                <w:b/>
                <w:bCs/>
                <w:color w:val="D97706"/>
                <w:sz w:val="18"/>
                <w:szCs w:val="18"/>
              </w:rPr>
              <w:t xml:space="preserve">MED</w:t>
            </w:r>
          </w:p>
        </w:tc>
      </w:tr>
      <w:tr>
        <w:tc>
          <w:tcPr>
            <w:tcW w:type="dxa" w:w="28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Multi-User / Auth ✅ Login shipped v1.9</w:t>
            </w:r>
          </w:p>
        </w:tc>
        <w:tc>
          <w:tcPr>
            <w:tcW w:type="dxa" w:w="45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1E293B"/>
                <w:sz w:val="20"/>
                <w:szCs w:val="20"/>
              </w:rPr>
              <w:t xml:space="preserve">Single-user login shipped in v1.9 (username/password, session cookie, change credentials in Settings). Remaining: multi-user accounts with role-based access (read-only vs. admin) for shared household use.</w:t>
            </w:r>
          </w:p>
        </w:tc>
        <w:tc>
          <w:tcPr>
            <w:tcW w:type="dxa" w:w="2000"/>
            <w:tcBorders>
              <w:top w:val="single" w:color="E2E8F0" w:sz="1"/>
              <w:left w:val="single" w:color="E2E8F0" w:sz="1"/>
              <w:bottom w:val="single" w:color="E2E8F0" w:sz="1"/>
              <w:right w:val="single" w:color="E2E8F0" w:sz="1"/>
            </w:tcBorders>
            <w:shd w:fill="FFFBEB" w:val="clear"/>
            <w:tcMar>
              <w:top w:type="dxa" w:w="80"/>
              <w:left w:type="dxa" w:w="120"/>
              <w:bottom w:type="dxa" w:w="80"/>
              <w:right w:type="dxa" w:w="120"/>
            </w:tcMar>
          </w:tcPr>
          <w:p>
            <w:pPr>
              <w:jc w:val="center"/>
            </w:pPr>
            <w:r>
              <w:rPr>
                <w:rFonts w:ascii="Arial" w:cs="Arial" w:eastAsia="Arial" w:hAnsi="Arial"/>
                <w:b/>
                <w:bCs/>
                <w:color w:val="D97706"/>
                <w:sz w:val="18"/>
                <w:szCs w:val="18"/>
              </w:rPr>
              <w:t xml:space="preserve">MED</w:t>
            </w:r>
          </w:p>
        </w:tc>
      </w:tr>
      <w:tr>
        <w:tc>
          <w:tcPr>
            <w:tcW w:type="dxa" w:w="28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iPhone Companion App</w:t>
            </w:r>
          </w:p>
        </w:tc>
        <w:tc>
          <w:tcPr>
            <w:tcW w:type="dxa" w:w="45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1E293B"/>
                <w:sz w:val="20"/>
                <w:szCs w:val="20"/>
              </w:rPr>
              <w:t xml:space="preserve">Extend the iPad app to iPhone with a compact single-column layout optimised for quick lookups on the go.</w:t>
            </w:r>
          </w:p>
        </w:tc>
        <w:tc>
          <w:tcPr>
            <w:tcW w:type="dxa" w:w="2000"/>
            <w:tcBorders>
              <w:top w:val="single" w:color="E2E8F0" w:sz="1"/>
              <w:left w:val="single" w:color="E2E8F0" w:sz="1"/>
              <w:bottom w:val="single" w:color="E2E8F0" w:sz="1"/>
              <w:right w:val="single" w:color="E2E8F0" w:sz="1"/>
            </w:tcBorders>
            <w:shd w:fill="FFFBEB" w:val="clear"/>
            <w:tcMar>
              <w:top w:type="dxa" w:w="80"/>
              <w:left w:type="dxa" w:w="120"/>
              <w:bottom w:type="dxa" w:w="80"/>
              <w:right w:type="dxa" w:w="120"/>
            </w:tcMar>
          </w:tcPr>
          <w:p>
            <w:pPr>
              <w:jc w:val="center"/>
            </w:pPr>
            <w:r>
              <w:rPr>
                <w:rFonts w:ascii="Arial" w:cs="Arial" w:eastAsia="Arial" w:hAnsi="Arial"/>
                <w:b/>
                <w:bCs/>
                <w:color w:val="D97706"/>
                <w:sz w:val="18"/>
                <w:szCs w:val="18"/>
              </w:rPr>
              <w:t xml:space="preserve">MED</w:t>
            </w:r>
          </w:p>
        </w:tc>
      </w:tr>
      <w:tr>
        <w:tc>
          <w:tcPr>
            <w:tcW w:type="dxa" w:w="28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Backup &amp; Sync</w:t>
            </w:r>
          </w:p>
        </w:tc>
        <w:tc>
          <w:tcPr>
            <w:tcW w:type="dxa" w:w="45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1E293B"/>
                <w:sz w:val="20"/>
                <w:szCs w:val="20"/>
              </w:rPr>
              <w:t xml:space="preserve">Auto-push the data file to a Git repo or Synology NAS on every save — keeping a versioned history off-device.</w:t>
            </w:r>
          </w:p>
        </w:tc>
        <w:tc>
          <w:tcPr>
            <w:tcW w:type="dxa" w:w="2000"/>
            <w:tcBorders>
              <w:top w:val="single" w:color="E2E8F0" w:sz="1"/>
              <w:left w:val="single" w:color="E2E8F0" w:sz="1"/>
              <w:bottom w:val="single" w:color="E2E8F0" w:sz="1"/>
              <w:right w:val="single" w:color="E2E8F0" w:sz="1"/>
            </w:tcBorders>
            <w:shd w:fill="FFFBEB" w:val="clear"/>
            <w:tcMar>
              <w:top w:type="dxa" w:w="80"/>
              <w:left w:type="dxa" w:w="120"/>
              <w:bottom w:type="dxa" w:w="80"/>
              <w:right w:type="dxa" w:w="120"/>
            </w:tcMar>
          </w:tcPr>
          <w:p>
            <w:pPr>
              <w:jc w:val="center"/>
            </w:pPr>
            <w:r>
              <w:rPr>
                <w:rFonts w:ascii="Arial" w:cs="Arial" w:eastAsia="Arial" w:hAnsi="Arial"/>
                <w:b/>
                <w:bCs/>
                <w:color w:val="D97706"/>
                <w:sz w:val="18"/>
                <w:szCs w:val="18"/>
              </w:rPr>
              <w:t xml:space="preserve">MED</w:t>
            </w:r>
          </w:p>
        </w:tc>
      </w:tr>
      <w:tr>
        <w:tc>
          <w:tcPr>
            <w:tcW w:type="dxa" w:w="28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Proxmox Live Status</w:t>
            </w:r>
          </w:p>
        </w:tc>
        <w:tc>
          <w:tcPr>
            <w:tcW w:type="dxa" w:w="45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1E293B"/>
                <w:sz w:val="20"/>
                <w:szCs w:val="20"/>
              </w:rPr>
              <w:t xml:space="preserve">Real-time VM and LXC power-state badges (running / stopped / paused) sourced from the Proxmox API — displayed directly on each IP card without needing to open the Proxmox UI.</w:t>
            </w:r>
          </w:p>
        </w:tc>
        <w:tc>
          <w:tcPr>
            <w:tcW w:type="dxa" w:w="2000"/>
            <w:tcBorders>
              <w:top w:val="single" w:color="E2E8F0" w:sz="1"/>
              <w:left w:val="single" w:color="E2E8F0" w:sz="1"/>
              <w:bottom w:val="single" w:color="E2E8F0" w:sz="1"/>
              <w:right w:val="single" w:color="E2E8F0" w:sz="1"/>
            </w:tcBorders>
            <w:shd w:fill="CCFBF1" w:val="clear"/>
            <w:tcMar>
              <w:top w:type="dxa" w:w="80"/>
              <w:left w:type="dxa" w:w="120"/>
              <w:bottom w:type="dxa" w:w="80"/>
              <w:right w:type="dxa" w:w="120"/>
            </w:tcMar>
          </w:tcPr>
          <w:p>
            <w:pPr>
              <w:jc w:val="center"/>
            </w:pPr>
            <w:r>
              <w:rPr>
                <w:rFonts w:ascii="Arial" w:cs="Arial" w:eastAsia="Arial" w:hAnsi="Arial"/>
                <w:b/>
                <w:bCs/>
                <w:color w:val="0D9488"/>
                <w:sz w:val="18"/>
                <w:szCs w:val="18"/>
              </w:rPr>
              <w:t xml:space="preserve">HIGH</w:t>
            </w:r>
          </w:p>
        </w:tc>
      </w:tr>
      <w:tr>
        <w:tc>
          <w:tcPr>
            <w:tcW w:type="dxa" w:w="28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Pi-hole DNS Validation (v6)</w:t>
            </w:r>
          </w:p>
        </w:tc>
        <w:tc>
          <w:tcPr>
            <w:tcW w:type="dxa" w:w="45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1E293B"/>
                <w:sz w:val="20"/>
                <w:szCs w:val="20"/>
              </w:rPr>
              <w:t xml:space="preserve">Poll the Pi-hole v6 API periodically and compare each entry’s hostname against what Pi-hole resolves. Any mismatch — e.g. the IP manager says plex.local → 192.168.0.50 but Pi-hole says 192.168.0.51 — shows an amber warning badge on the card so drift is visible at a glance.</w:t>
            </w:r>
          </w:p>
        </w:tc>
        <w:tc>
          <w:tcPr>
            <w:tcW w:type="dxa" w:w="2000"/>
            <w:tcBorders>
              <w:top w:val="single" w:color="E2E8F0" w:sz="1"/>
              <w:left w:val="single" w:color="E2E8F0" w:sz="1"/>
              <w:bottom w:val="single" w:color="E2E8F0" w:sz="1"/>
              <w:right w:val="single" w:color="E2E8F0" w:sz="1"/>
            </w:tcBorders>
            <w:shd w:fill="CCFBF1" w:val="clear"/>
            <w:tcMar>
              <w:top w:type="dxa" w:w="80"/>
              <w:left w:type="dxa" w:w="120"/>
              <w:bottom w:type="dxa" w:w="80"/>
              <w:right w:type="dxa" w:w="120"/>
            </w:tcMar>
          </w:tcPr>
          <w:p>
            <w:pPr>
              <w:jc w:val="center"/>
            </w:pPr>
            <w:r>
              <w:rPr>
                <w:rFonts w:ascii="Arial" w:cs="Arial" w:eastAsia="Arial" w:hAnsi="Arial"/>
                <w:b/>
                <w:bCs/>
                <w:color w:val="0D9488"/>
                <w:sz w:val="18"/>
                <w:szCs w:val="18"/>
              </w:rPr>
              <w:t xml:space="preserve">HIGH</w:t>
            </w:r>
          </w:p>
        </w:tc>
      </w:tr>
      <w:tr>
        <w:tc>
          <w:tcPr>
            <w:tcW w:type="dxa" w:w="28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ARP Scan — Background</w:t>
            </w:r>
          </w:p>
        </w:tc>
        <w:tc>
          <w:tcPr>
            <w:tcW w:type="dxa" w:w="45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1E293B"/>
                <w:sz w:val="20"/>
                <w:szCs w:val="20"/>
              </w:rPr>
              <w:t xml:space="preserve">Periodic scheduled ARP scans (rate-limited, scoped to the configured subnet) that update a “last seen” timestamp on each card and automatically surface newly appeared or disappeared devices without manual intervention.</w:t>
            </w:r>
          </w:p>
        </w:tc>
        <w:tc>
          <w:tcPr>
            <w:tcW w:type="dxa" w:w="2000"/>
            <w:tcBorders>
              <w:top w:val="single" w:color="E2E8F0" w:sz="1"/>
              <w:left w:val="single" w:color="E2E8F0" w:sz="1"/>
              <w:bottom w:val="single" w:color="E2E8F0" w:sz="1"/>
              <w:right w:val="single" w:color="E2E8F0" w:sz="1"/>
            </w:tcBorders>
            <w:shd w:fill="CCFBF1" w:val="clear"/>
            <w:tcMar>
              <w:top w:type="dxa" w:w="80"/>
              <w:left w:type="dxa" w:w="120"/>
              <w:bottom w:type="dxa" w:w="80"/>
              <w:right w:type="dxa" w:w="120"/>
            </w:tcMar>
          </w:tcPr>
          <w:p>
            <w:pPr>
              <w:jc w:val="center"/>
            </w:pPr>
            <w:r>
              <w:rPr>
                <w:rFonts w:ascii="Arial" w:cs="Arial" w:eastAsia="Arial" w:hAnsi="Arial"/>
                <w:b/>
                <w:bCs/>
                <w:color w:val="0D9488"/>
                <w:sz w:val="18"/>
                <w:szCs w:val="18"/>
              </w:rPr>
              <w:t xml:space="preserve">HIGH</w:t>
            </w:r>
          </w:p>
        </w:tc>
      </w:tr>
    </w:tbl>
    <w:p>
      <w:pPr>
        <w:spacing w:after="0" w:before="160"/>
      </w:pPr>
    </w:p>
    <w:p>
      <w:pPr>
        <w:pBdr>
          <w:bottom w:val="single" w:color="E2E8F0" w:sz="4" w:space="1"/>
        </w:pBdr>
        <w:spacing w:after="240" w:before="240"/>
      </w:pPr>
    </w:p>
    <w:p>
      <w:pPr>
        <w:pStyle w:val="Heading1"/>
        <w:spacing w:after="160" w:before="400"/>
      </w:pPr>
      <w:r>
        <w:rPr>
          <w:rFonts w:ascii="Arial" w:cs="Arial" w:eastAsia="Arial" w:hAnsi="Arial"/>
          <w:b/>
          <w:bCs/>
          <w:color w:val="1E293B"/>
          <w:sz w:val="36"/>
          <w:szCs w:val="36"/>
        </w:rPr>
        <w:t xml:space="preserve">Priority Summary</w:t>
      </w:r>
    </w:p>
    <w:p>
      <w:pPr>
        <w:spacing w:after="60" w:before="60"/>
      </w:pPr>
      <w:r>
        <w:rPr>
          <w:rFonts w:ascii="Arial" w:cs="Arial" w:eastAsia="Arial" w:hAnsi="Arial"/>
          <w:color w:val="1E293B"/>
          <w:sz w:val="22"/>
          <w:szCs w:val="22"/>
        </w:rPr>
        <w:t xml:space="preserve">Tags, Sort Controls, Last Modified Date, Keyboard Shortcuts, /16 support, DHCP reservations anywhere, Clear All Data, subnet auto-normalisation, bulk selection and bulk edit, location management, free IPs in the main list, change history / audit log, multi-network / VLAN support, full backup and restore, hide-free-IPs toggle, login authentication, Proxmox one-shot import, tag management, ARP network scan, and DHCP toggle have all shipped (v1.4–v1.11). The iPad native app is in active development. The table below ranks the top remaining web app items by effort vs. impact.</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3200"/>
        <w:gridCol w:w="2880"/>
        <w:gridCol w:w="1400"/>
        <w:gridCol w:w="1400"/>
      </w:tblGrid>
      <w:tr>
        <w:tc>
          <w:tcPr>
            <w:tcW w:type="dxa" w:w="480"/>
            <w:tcBorders>
              <w:top w:val="single" w:color="E2E8F0" w:sz="1"/>
              <w:left w:val="single" w:color="E2E8F0" w:sz="1"/>
              <w:bottom w:val="single" w:color="E2E8F0" w:sz="1"/>
              <w:right w:val="single" w:color="E2E8F0" w:sz="1"/>
            </w:tcBorders>
            <w:shd w:fill="1E293B" w:val="clear"/>
            <w:tcMar>
              <w:top w:type="dxa" w:w="80"/>
              <w:left w:type="dxa" w:w="120"/>
              <w:bottom w:type="dxa" w:w="80"/>
              <w:right w:type="dxa" w:w="120"/>
            </w:tcMar>
          </w:tcPr>
          <w:p>
            <w:r>
              <w:rPr>
                <w:rFonts w:ascii="Arial" w:cs="Arial" w:eastAsia="Arial" w:hAnsi="Arial"/>
                <w:b/>
                <w:bCs/>
                <w:color w:val="FFFFFF"/>
                <w:sz w:val="18"/>
                <w:szCs w:val="18"/>
              </w:rPr>
              <w:t xml:space="preserve">#</w:t>
            </w:r>
          </w:p>
        </w:tc>
        <w:tc>
          <w:tcPr>
            <w:tcW w:type="dxa" w:w="3200"/>
            <w:tcBorders>
              <w:top w:val="single" w:color="E2E8F0" w:sz="1"/>
              <w:left w:val="single" w:color="E2E8F0" w:sz="1"/>
              <w:bottom w:val="single" w:color="E2E8F0" w:sz="1"/>
              <w:right w:val="single" w:color="E2E8F0" w:sz="1"/>
            </w:tcBorders>
            <w:shd w:fill="1E293B" w:val="clear"/>
            <w:tcMar>
              <w:top w:type="dxa" w:w="80"/>
              <w:left w:type="dxa" w:w="120"/>
              <w:bottom w:type="dxa" w:w="80"/>
              <w:right w:type="dxa" w:w="120"/>
            </w:tcMar>
          </w:tcPr>
          <w:p>
            <w:r>
              <w:rPr>
                <w:rFonts w:ascii="Arial" w:cs="Arial" w:eastAsia="Arial" w:hAnsi="Arial"/>
                <w:b/>
                <w:bCs/>
                <w:color w:val="FFFFFF"/>
                <w:sz w:val="18"/>
                <w:szCs w:val="18"/>
              </w:rPr>
              <w:t xml:space="preserve">Feature</w:t>
            </w:r>
          </w:p>
        </w:tc>
        <w:tc>
          <w:tcPr>
            <w:tcW w:type="dxa" w:w="2880"/>
            <w:tcBorders>
              <w:top w:val="single" w:color="E2E8F0" w:sz="1"/>
              <w:left w:val="single" w:color="E2E8F0" w:sz="1"/>
              <w:bottom w:val="single" w:color="E2E8F0" w:sz="1"/>
              <w:right w:val="single" w:color="E2E8F0" w:sz="1"/>
            </w:tcBorders>
            <w:shd w:fill="1E293B" w:val="clear"/>
            <w:tcMar>
              <w:top w:type="dxa" w:w="80"/>
              <w:left w:type="dxa" w:w="120"/>
              <w:bottom w:type="dxa" w:w="80"/>
              <w:right w:type="dxa" w:w="120"/>
            </w:tcMar>
          </w:tcPr>
          <w:p>
            <w:r>
              <w:rPr>
                <w:rFonts w:ascii="Arial" w:cs="Arial" w:eastAsia="Arial" w:hAnsi="Arial"/>
                <w:b/>
                <w:bCs/>
                <w:color w:val="FFFFFF"/>
                <w:sz w:val="18"/>
                <w:szCs w:val="18"/>
              </w:rPr>
              <w:t xml:space="preserve">Reason</w:t>
            </w:r>
          </w:p>
        </w:tc>
        <w:tc>
          <w:tcPr>
            <w:tcW w:type="dxa" w:w="1400"/>
            <w:tcBorders>
              <w:top w:val="single" w:color="E2E8F0" w:sz="1"/>
              <w:left w:val="single" w:color="E2E8F0" w:sz="1"/>
              <w:bottom w:val="single" w:color="E2E8F0" w:sz="1"/>
              <w:right w:val="single" w:color="E2E8F0" w:sz="1"/>
            </w:tcBorders>
            <w:shd w:fill="1E293B" w:val="clear"/>
            <w:tcMar>
              <w:top w:type="dxa" w:w="80"/>
              <w:left w:type="dxa" w:w="120"/>
              <w:bottom w:type="dxa" w:w="80"/>
              <w:right w:type="dxa" w:w="120"/>
            </w:tcMar>
          </w:tcPr>
          <w:p>
            <w:r>
              <w:rPr>
                <w:rFonts w:ascii="Arial" w:cs="Arial" w:eastAsia="Arial" w:hAnsi="Arial"/>
                <w:b/>
                <w:bCs/>
                <w:color w:val="FFFFFF"/>
                <w:sz w:val="18"/>
                <w:szCs w:val="18"/>
              </w:rPr>
              <w:t xml:space="preserve">Effort</w:t>
            </w:r>
          </w:p>
        </w:tc>
        <w:tc>
          <w:tcPr>
            <w:tcW w:type="dxa" w:w="1400"/>
            <w:tcBorders>
              <w:top w:val="single" w:color="E2E8F0" w:sz="1"/>
              <w:left w:val="single" w:color="E2E8F0" w:sz="1"/>
              <w:bottom w:val="single" w:color="E2E8F0" w:sz="1"/>
              <w:right w:val="single" w:color="E2E8F0" w:sz="1"/>
            </w:tcBorders>
            <w:shd w:fill="1E293B" w:val="clear"/>
            <w:tcMar>
              <w:top w:type="dxa" w:w="80"/>
              <w:left w:type="dxa" w:w="120"/>
              <w:bottom w:type="dxa" w:w="80"/>
              <w:right w:type="dxa" w:w="120"/>
            </w:tcMar>
          </w:tcPr>
          <w:p>
            <w:r>
              <w:rPr>
                <w:rFonts w:ascii="Arial" w:cs="Arial" w:eastAsia="Arial" w:hAnsi="Arial"/>
                <w:b/>
                <w:bCs/>
                <w:color w:val="FFFFFF"/>
                <w:sz w:val="18"/>
                <w:szCs w:val="18"/>
              </w:rPr>
              <w:t xml:space="preserve">Impact</w:t>
            </w:r>
          </w:p>
        </w:tc>
      </w:tr>
      <w:tr>
        <w:tc>
          <w:tcPr>
            <w:tcW w:type="dxa" w:w="48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pPr>
              <w:jc w:val="center"/>
            </w:pPr>
            <w:r>
              <w:rPr>
                <w:rFonts w:ascii="Arial" w:cs="Arial" w:eastAsia="Arial" w:hAnsi="Arial"/>
                <w:b/>
                <w:bCs/>
                <w:color w:val="0D9488"/>
                <w:sz w:val="20"/>
                <w:szCs w:val="20"/>
              </w:rPr>
              <w:t xml:space="preserve">1</w:t>
            </w:r>
          </w:p>
        </w:tc>
        <w:tc>
          <w:tcPr>
            <w:tcW w:type="dxa" w:w="32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b/>
                <w:bCs/>
                <w:color w:val="1E293B"/>
                <w:sz w:val="20"/>
                <w:szCs w:val="20"/>
              </w:rPr>
              <w:t xml:space="preserve">iPad App — TestFlight</w:t>
            </w:r>
          </w:p>
        </w:tc>
        <w:tc>
          <w:tcPr>
            <w:tcW w:type="dxa" w:w="288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color w:val="64748B"/>
                <w:sz w:val="20"/>
                <w:szCs w:val="20"/>
              </w:rPr>
              <w:t xml:space="preserve">First public build for household testers; real device UI polish</w:t>
            </w:r>
          </w:p>
        </w:tc>
        <w:tc>
          <w:tcPr>
            <w:tcW w:type="dxa" w:w="14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pPr>
              <w:jc w:val="center"/>
            </w:pPr>
            <w:r>
              <w:rPr>
                <w:rFonts w:ascii="Arial" w:cs="Arial" w:eastAsia="Arial" w:hAnsi="Arial"/>
                <w:color w:val="1E293B"/>
                <w:sz w:val="20"/>
                <w:szCs w:val="20"/>
              </w:rPr>
              <w:t xml:space="preserve">Med</w:t>
            </w:r>
          </w:p>
        </w:tc>
        <w:tc>
          <w:tcPr>
            <w:tcW w:type="dxa" w:w="14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pPr>
              <w:jc w:val="center"/>
            </w:pPr>
            <w:r>
              <w:rPr>
                <w:rFonts w:ascii="Arial" w:cs="Arial" w:eastAsia="Arial" w:hAnsi="Arial"/>
                <w:b/>
                <w:bCs/>
                <w:color w:val="0D9488"/>
                <w:sz w:val="20"/>
                <w:szCs w:val="20"/>
              </w:rPr>
              <w:t xml:space="preserve">High</w:t>
            </w:r>
          </w:p>
        </w:tc>
      </w:tr>
      <w:tr>
        <w:tc>
          <w:tcPr>
            <w:tcW w:type="dxa" w:w="48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pPr>
              <w:jc w:val="center"/>
            </w:pPr>
            <w:r>
              <w:rPr>
                <w:rFonts w:ascii="Arial" w:cs="Arial" w:eastAsia="Arial" w:hAnsi="Arial"/>
                <w:b/>
                <w:bCs/>
                <w:color w:val="0D9488"/>
                <w:sz w:val="20"/>
                <w:szCs w:val="20"/>
              </w:rPr>
              <w:t xml:space="preserve">2</w:t>
            </w:r>
          </w:p>
        </w:tc>
        <w:tc>
          <w:tcPr>
            <w:tcW w:type="dxa" w:w="32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Multiple IPs per Host</w:t>
            </w:r>
          </w:p>
        </w:tc>
        <w:tc>
          <w:tcPr>
            <w:tcW w:type="dxa" w:w="288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color w:val="64748B"/>
                <w:sz w:val="20"/>
                <w:szCs w:val="20"/>
              </w:rPr>
              <w:t xml:space="preserve">Multi-NIC / multi-VLAN-leg servers; real-world need for hosts that span two network segments</w:t>
            </w:r>
          </w:p>
        </w:tc>
        <w:tc>
          <w:tcPr>
            <w:tcW w:type="dxa" w:w="14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pPr>
              <w:jc w:val="center"/>
            </w:pPr>
            <w:r>
              <w:rPr>
                <w:rFonts w:ascii="Arial" w:cs="Arial" w:eastAsia="Arial" w:hAnsi="Arial"/>
                <w:color w:val="1E293B"/>
                <w:sz w:val="20"/>
                <w:szCs w:val="20"/>
              </w:rPr>
              <w:t xml:space="preserve">Med</w:t>
            </w:r>
          </w:p>
        </w:tc>
        <w:tc>
          <w:tcPr>
            <w:tcW w:type="dxa" w:w="14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pPr>
              <w:jc w:val="center"/>
            </w:pPr>
            <w:r>
              <w:rPr>
                <w:rFonts w:ascii="Arial" w:cs="Arial" w:eastAsia="Arial" w:hAnsi="Arial"/>
                <w:b/>
                <w:bCs/>
                <w:color w:val="0D9488"/>
                <w:sz w:val="20"/>
                <w:szCs w:val="20"/>
              </w:rPr>
              <w:t xml:space="preserve">High</w:t>
            </w:r>
          </w:p>
        </w:tc>
      </w:tr>
      <w:tr>
        <w:tc>
          <w:tcPr>
            <w:tcW w:type="dxa" w:w="48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pPr>
              <w:jc w:val="center"/>
            </w:pPr>
            <w:r>
              <w:rPr>
                <w:rFonts w:ascii="Arial" w:cs="Arial" w:eastAsia="Arial" w:hAnsi="Arial"/>
                <w:b/>
                <w:bCs/>
                <w:color w:val="0D9488"/>
                <w:sz w:val="20"/>
                <w:szCs w:val="20"/>
              </w:rPr>
              <w:t xml:space="preserve">3</w:t>
            </w:r>
          </w:p>
        </w:tc>
        <w:tc>
          <w:tcPr>
            <w:tcW w:type="dxa" w:w="32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b/>
                <w:bCs/>
                <w:color w:val="1E293B"/>
                <w:sz w:val="20"/>
                <w:szCs w:val="20"/>
              </w:rPr>
              <w:t xml:space="preserve">VLAN &amp; Multi-Network ✅ Shipped v1.8</w:t>
            </w:r>
          </w:p>
        </w:tc>
        <w:tc>
          <w:tcPr>
            <w:tcW w:type="dxa" w:w="288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color w:val="64748B"/>
                <w:sz w:val="20"/>
                <w:szCs w:val="20"/>
              </w:rPr>
              <w:t xml:space="preserve">Directly requested — essential for a segmented home lab</w:t>
            </w:r>
          </w:p>
        </w:tc>
        <w:tc>
          <w:tcPr>
            <w:tcW w:type="dxa" w:w="14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pPr>
              <w:jc w:val="center"/>
            </w:pPr>
            <w:r>
              <w:rPr>
                <w:rFonts w:ascii="Arial" w:cs="Arial" w:eastAsia="Arial" w:hAnsi="Arial"/>
                <w:color w:val="1E293B"/>
                <w:sz w:val="20"/>
                <w:szCs w:val="20"/>
              </w:rPr>
              <w:t xml:space="preserve">Med</w:t>
            </w:r>
          </w:p>
        </w:tc>
        <w:tc>
          <w:tcPr>
            <w:tcW w:type="dxa" w:w="14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pPr>
              <w:jc w:val="center"/>
            </w:pPr>
            <w:r>
              <w:rPr>
                <w:rFonts w:ascii="Arial" w:cs="Arial" w:eastAsia="Arial" w:hAnsi="Arial"/>
                <w:b/>
                <w:bCs/>
                <w:color w:val="0D9488"/>
                <w:sz w:val="20"/>
                <w:szCs w:val="20"/>
              </w:rPr>
              <w:t xml:space="preserve">High</w:t>
            </w:r>
          </w:p>
        </w:tc>
      </w:tr>
      <w:tr>
        <w:tc>
          <w:tcPr>
            <w:tcW w:type="dxa" w:w="48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pPr>
              <w:jc w:val="center"/>
            </w:pPr>
            <w:r>
              <w:rPr>
                <w:rFonts w:ascii="Arial" w:cs="Arial" w:eastAsia="Arial" w:hAnsi="Arial"/>
                <w:b/>
                <w:bCs/>
                <w:color w:val="0D9488"/>
                <w:sz w:val="20"/>
                <w:szCs w:val="20"/>
              </w:rPr>
              <w:t xml:space="preserve">4</w:t>
            </w:r>
          </w:p>
        </w:tc>
        <w:tc>
          <w:tcPr>
            <w:tcW w:type="dxa" w:w="32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Ping / Reachability</w:t>
            </w:r>
          </w:p>
        </w:tc>
        <w:tc>
          <w:tcPr>
            <w:tcW w:type="dxa" w:w="288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color w:val="64748B"/>
                <w:sz w:val="20"/>
                <w:szCs w:val="20"/>
              </w:rPr>
              <w:t xml:space="preserve">Adds live operational awareness with no new infrastructure</w:t>
            </w:r>
          </w:p>
        </w:tc>
        <w:tc>
          <w:tcPr>
            <w:tcW w:type="dxa" w:w="14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pPr>
              <w:jc w:val="center"/>
            </w:pPr>
            <w:r>
              <w:rPr>
                <w:rFonts w:ascii="Arial" w:cs="Arial" w:eastAsia="Arial" w:hAnsi="Arial"/>
                <w:color w:val="1E293B"/>
                <w:sz w:val="20"/>
                <w:szCs w:val="20"/>
              </w:rPr>
              <w:t xml:space="preserve">Med</w:t>
            </w:r>
          </w:p>
        </w:tc>
        <w:tc>
          <w:tcPr>
            <w:tcW w:type="dxa" w:w="14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pPr>
              <w:jc w:val="center"/>
            </w:pPr>
            <w:r>
              <w:rPr>
                <w:rFonts w:ascii="Arial" w:cs="Arial" w:eastAsia="Arial" w:hAnsi="Arial"/>
                <w:b/>
                <w:bCs/>
                <w:color w:val="0D9488"/>
                <w:sz w:val="20"/>
                <w:szCs w:val="20"/>
              </w:rPr>
              <w:t xml:space="preserve">High</w:t>
            </w:r>
          </w:p>
        </w:tc>
      </w:tr>
      <w:tr>
        <w:tc>
          <w:tcPr>
            <w:tcW w:type="dxa" w:w="48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pPr>
              <w:jc w:val="center"/>
            </w:pPr>
            <w:r>
              <w:rPr>
                <w:rFonts w:ascii="Arial" w:cs="Arial" w:eastAsia="Arial" w:hAnsi="Arial"/>
                <w:b/>
                <w:bCs/>
                <w:color w:val="0D9488"/>
                <w:sz w:val="20"/>
                <w:szCs w:val="20"/>
              </w:rPr>
              <w:t xml:space="preserve">5</w:t>
            </w:r>
          </w:p>
        </w:tc>
        <w:tc>
          <w:tcPr>
            <w:tcW w:type="dxa" w:w="32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b/>
                <w:bCs/>
                <w:color w:val="1E293B"/>
                <w:sz w:val="20"/>
                <w:szCs w:val="20"/>
              </w:rPr>
              <w:t xml:space="preserve">PWA / Offline Support</w:t>
            </w:r>
          </w:p>
        </w:tc>
        <w:tc>
          <w:tcPr>
            <w:tcW w:type="dxa" w:w="288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color w:val="64748B"/>
                <w:sz w:val="20"/>
                <w:szCs w:val="20"/>
              </w:rPr>
              <w:t xml:space="preserve">Install to home screen; works without network access</w:t>
            </w:r>
          </w:p>
        </w:tc>
        <w:tc>
          <w:tcPr>
            <w:tcW w:type="dxa" w:w="14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pPr>
              <w:jc w:val="center"/>
            </w:pPr>
            <w:r>
              <w:rPr>
                <w:rFonts w:ascii="Arial" w:cs="Arial" w:eastAsia="Arial" w:hAnsi="Arial"/>
                <w:color w:val="1E293B"/>
                <w:sz w:val="20"/>
                <w:szCs w:val="20"/>
              </w:rPr>
              <w:t xml:space="preserve">Med</w:t>
            </w:r>
          </w:p>
        </w:tc>
        <w:tc>
          <w:tcPr>
            <w:tcW w:type="dxa" w:w="14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pPr>
              <w:jc w:val="center"/>
            </w:pPr>
            <w:r>
              <w:rPr>
                <w:rFonts w:ascii="Arial" w:cs="Arial" w:eastAsia="Arial" w:hAnsi="Arial"/>
                <w:b/>
                <w:bCs/>
                <w:color w:val="0D9488"/>
                <w:sz w:val="20"/>
                <w:szCs w:val="20"/>
              </w:rPr>
              <w:t xml:space="preserve">High</w:t>
            </w:r>
          </w:p>
        </w:tc>
      </w:tr>
      <w:tr>
        <w:tc>
          <w:tcPr>
            <w:tcW w:type="dxa" w:w="48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pPr>
              <w:jc w:val="center"/>
            </w:pPr>
            <w:r>
              <w:rPr>
                <w:rFonts w:ascii="Arial" w:cs="Arial" w:eastAsia="Arial" w:hAnsi="Arial"/>
                <w:b/>
                <w:bCs/>
                <w:color w:val="0D9488"/>
                <w:sz w:val="20"/>
                <w:szCs w:val="20"/>
              </w:rPr>
              <w:t xml:space="preserve">6</w:t>
            </w:r>
          </w:p>
        </w:tc>
        <w:tc>
          <w:tcPr>
            <w:tcW w:type="dxa" w:w="32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Service Health Check</w:t>
            </w:r>
          </w:p>
        </w:tc>
        <w:tc>
          <w:tcPr>
            <w:tcW w:type="dxa" w:w="288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color w:val="64748B"/>
                <w:sz w:val="20"/>
                <w:szCs w:val="20"/>
              </w:rPr>
              <w:t xml:space="preserve">Shows at a glance if key services are running</w:t>
            </w:r>
          </w:p>
        </w:tc>
        <w:tc>
          <w:tcPr>
            <w:tcW w:type="dxa" w:w="14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pPr>
              <w:jc w:val="center"/>
            </w:pPr>
            <w:r>
              <w:rPr>
                <w:rFonts w:ascii="Arial" w:cs="Arial" w:eastAsia="Arial" w:hAnsi="Arial"/>
                <w:color w:val="1E293B"/>
                <w:sz w:val="20"/>
                <w:szCs w:val="20"/>
              </w:rPr>
              <w:t xml:space="preserve">Med</w:t>
            </w:r>
          </w:p>
        </w:tc>
        <w:tc>
          <w:tcPr>
            <w:tcW w:type="dxa" w:w="14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pPr>
              <w:jc w:val="center"/>
            </w:pPr>
            <w:r>
              <w:rPr>
                <w:rFonts w:ascii="Arial" w:cs="Arial" w:eastAsia="Arial" w:hAnsi="Arial"/>
                <w:b/>
                <w:bCs/>
                <w:color w:val="0D9488"/>
                <w:sz w:val="20"/>
                <w:szCs w:val="20"/>
              </w:rPr>
              <w:t xml:space="preserve">High</w:t>
            </w:r>
          </w:p>
        </w:tc>
      </w:tr>
      <w:tr>
        <w:tc>
          <w:tcPr>
            <w:tcW w:type="dxa" w:w="48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pPr>
              <w:jc w:val="center"/>
            </w:pPr>
            <w:r>
              <w:rPr>
                <w:rFonts w:ascii="Arial" w:cs="Arial" w:eastAsia="Arial" w:hAnsi="Arial"/>
                <w:b/>
                <w:bCs/>
                <w:color w:val="0D9488"/>
                <w:sz w:val="20"/>
                <w:szCs w:val="20"/>
              </w:rPr>
              <w:t xml:space="preserve">7</w:t>
            </w:r>
          </w:p>
        </w:tc>
        <w:tc>
          <w:tcPr>
            <w:tcW w:type="dxa" w:w="32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Proxmox Scheduled Sync</w:t>
            </w:r>
          </w:p>
        </w:tc>
        <w:tc>
          <w:tcPr>
            <w:tcW w:type="dxa" w:w="288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color w:val="64748B"/>
                <w:sz w:val="20"/>
                <w:szCs w:val="20"/>
              </w:rPr>
              <w:t xml:space="preserve">Keeps Proxmox entries current without manual re-import</w:t>
            </w:r>
          </w:p>
        </w:tc>
        <w:tc>
          <w:tcPr>
            <w:tcW w:type="dxa" w:w="14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pPr>
              <w:jc w:val="center"/>
            </w:pPr>
            <w:r>
              <w:rPr>
                <w:rFonts w:ascii="Arial" w:cs="Arial" w:eastAsia="Arial" w:hAnsi="Arial"/>
                <w:color w:val="1E293B"/>
                <w:sz w:val="20"/>
                <w:szCs w:val="20"/>
              </w:rPr>
              <w:t xml:space="preserve">Med</w:t>
            </w:r>
          </w:p>
        </w:tc>
        <w:tc>
          <w:tcPr>
            <w:tcW w:type="dxa" w:w="14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pPr>
              <w:jc w:val="center"/>
            </w:pPr>
            <w:r>
              <w:rPr>
                <w:rFonts w:ascii="Arial" w:cs="Arial" w:eastAsia="Arial" w:hAnsi="Arial"/>
                <w:b/>
                <w:bCs/>
                <w:color w:val="0D9488"/>
                <w:sz w:val="20"/>
                <w:szCs w:val="20"/>
              </w:rPr>
              <w:t xml:space="preserve">High</w:t>
            </w:r>
          </w:p>
        </w:tc>
      </w:tr>
      <w:tr>
        <w:tc>
          <w:tcPr>
            <w:tcW w:type="dxa" w:w="48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pPr>
              <w:jc w:val="center"/>
            </w:pPr>
            <w:r>
              <w:rPr>
                <w:rFonts w:ascii="Arial" w:cs="Arial" w:eastAsia="Arial" w:hAnsi="Arial"/>
                <w:b/>
                <w:bCs/>
                <w:color w:val="0D9488"/>
                <w:sz w:val="20"/>
                <w:szCs w:val="20"/>
              </w:rPr>
              <w:t xml:space="preserve">8</w:t>
            </w:r>
          </w:p>
        </w:tc>
        <w:tc>
          <w:tcPr>
            <w:tcW w:type="dxa" w:w="32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Proxmox Live Status</w:t>
            </w:r>
          </w:p>
        </w:tc>
        <w:tc>
          <w:tcPr>
            <w:tcW w:type="dxa" w:w="288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color w:val="64748B"/>
                <w:sz w:val="20"/>
                <w:szCs w:val="20"/>
              </w:rPr>
              <w:t xml:space="preserve">Real-time VM/LXC power state badges without leaving the IP manager</w:t>
            </w:r>
          </w:p>
        </w:tc>
        <w:tc>
          <w:tcPr>
            <w:tcW w:type="dxa" w:w="14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pPr>
              <w:jc w:val="center"/>
            </w:pPr>
            <w:r>
              <w:rPr>
                <w:rFonts w:ascii="Arial" w:cs="Arial" w:eastAsia="Arial" w:hAnsi="Arial"/>
                <w:color w:val="1E293B"/>
                <w:sz w:val="20"/>
                <w:szCs w:val="20"/>
              </w:rPr>
              <w:t xml:space="preserve">High</w:t>
            </w:r>
          </w:p>
        </w:tc>
        <w:tc>
          <w:tcPr>
            <w:tcW w:type="dxa" w:w="14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pPr>
              <w:jc w:val="center"/>
            </w:pPr>
            <w:r>
              <w:rPr>
                <w:rFonts w:ascii="Arial" w:cs="Arial" w:eastAsia="Arial" w:hAnsi="Arial"/>
                <w:b/>
                <w:bCs/>
                <w:color w:val="0D9488"/>
                <w:sz w:val="20"/>
                <w:szCs w:val="20"/>
              </w:rPr>
              <w:t xml:space="preserve">High</w:t>
            </w:r>
          </w:p>
        </w:tc>
      </w:tr>
    </w:tbl>
    <w:p>
      <w:pPr>
        <w:spacing w:after="0" w:before="200"/>
      </w:pPr>
    </w:p>
    <w:p>
      <w:pPr>
        <w:pBdr>
          <w:bottom w:val="single" w:color="E2E8F0" w:sz="4" w:space="1"/>
        </w:pBdr>
        <w:spacing w:after="240" w:before="240"/>
      </w:pPr>
    </w:p>
    <w:p>
      <w:pPr>
        <w:spacing w:after="0" w:before="160"/>
        <w:jc w:val="center"/>
      </w:pPr>
      <w:r>
        <w:rPr>
          <w:rFonts w:ascii="Arial" w:cs="Arial" w:eastAsia="Arial" w:hAnsi="Arial"/>
          <w:color w:val="64748B"/>
          <w:sz w:val="18"/>
          <w:szCs w:val="18"/>
        </w:rPr>
        <w:t xml:space="preserve">IP Address Manager · Home Network · 192.168.0.0/24 · Jay Allen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2E8F0" w:sz="4" w:space="4"/>
      </w:pBdr>
      <w:jc w:val="center"/>
    </w:pPr>
    <w:r>
      <w:rPr>
        <w:rFonts w:ascii="Arial" w:cs="Arial" w:eastAsia="Arial" w:hAnsi="Arial"/>
        <w:color w:val="64748B"/>
        <w:sz w:val="18"/>
        <w:szCs w:val="18"/>
      </w:rPr>
      <w:t xml:space="preserve">Page </w:t>
    </w:r>
    <w:r>
      <w:rPr>
        <w:rFonts w:ascii="Arial" w:cs="Arial" w:eastAsia="Arial" w:hAnsi="Arial"/>
        <w:color w:val="64748B"/>
        <w:sz w:val="18"/>
        <w:szCs w:val="18"/>
      </w:rPr>
      <w:fldChar w:fldCharType="begin"/>
      <w:instrText xml:space="preserve">PAGE</w:instrText>
      <w:fldChar w:fldCharType="separate"/>
      <w:fldChar w:fldCharType="end"/>
    </w:r>
    <w:r>
      <w:rPr>
        <w:rFonts w:ascii="Arial" w:cs="Arial" w:eastAsia="Arial" w:hAnsi="Arial"/>
        <w:color w:val="64748B"/>
        <w:sz w:val="18"/>
        <w:szCs w:val="18"/>
      </w:rPr>
      <w:t xml:space="preserve"> · Confidential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2E8F0" w:sz="4" w:space="4"/>
      </w:pBdr>
      <w:jc w:val="right"/>
    </w:pPr>
    <w:r>
      <w:rPr>
        <w:rFonts w:ascii="Arial" w:cs="Arial" w:eastAsia="Arial" w:hAnsi="Arial"/>
        <w:color w:val="64748B"/>
        <w:sz w:val="18"/>
        <w:szCs w:val="18"/>
      </w:rPr>
      <w:t xml:space="preserve">IP Address Manager · Product Roadmap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400"/>
      <w:outlineLvl w:val="0"/>
    </w:pPr>
    <w:rPr>
      <w:rFonts w:ascii="Arial" w:cs="Arial" w:eastAsia="Arial" w:hAnsi="Arial"/>
      <w:b/>
      <w:bCs/>
      <w:color w:val="1E293B"/>
      <w:sz w:val="36"/>
      <w:szCs w:val="36"/>
    </w:rPr>
  </w:style>
  <w:style w:type="paragraph" w:styleId="Heading2">
    <w:name w:val="Heading 2"/>
    <w:basedOn w:val="Normal"/>
    <w:next w:val="Normal"/>
    <w:qFormat/>
    <w:pPr>
      <w:spacing w:after="120" w:before="320"/>
      <w:outlineLvl w:val="1"/>
    </w:pPr>
    <w:rPr>
      <w:rFonts w:ascii="Arial" w:cs="Arial" w:eastAsia="Arial" w:hAnsi="Arial"/>
      <w:b/>
      <w:bCs/>
      <w:color w:val="0D9488"/>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2026-03-05T14:37:26.241Z</dcterms:created>
  <dcterms:modified xsi:type="dcterms:W3CDTF">2026-03-05T14:37:26.242Z</dcterms:modified>
</cp:coreProperties>
</file>

<file path=docProps/custom.xml><?xml version="1.0" encoding="utf-8"?>
<Properties xmlns="http://schemas.openxmlformats.org/officeDocument/2006/custom-properties" xmlns:vt="http://schemas.openxmlformats.org/officeDocument/2006/docPropsVTypes"/>
</file>