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D3613" w14:textId="77777777" w:rsidR="004D0BEA" w:rsidRDefault="00000000">
      <w:pPr>
        <w:ind w:firstLine="2"/>
        <w:jc w:val="center"/>
        <w:rPr>
          <w:rFonts w:ascii="Calibri" w:hAnsi="Calibri"/>
          <w:szCs w:val="24"/>
        </w:rPr>
      </w:pPr>
      <w:r>
        <w:rPr>
          <w:rFonts w:ascii="宋体" w:hAnsi="宋体"/>
          <w:b/>
          <w:noProof/>
          <w:color w:val="000000"/>
          <w:spacing w:val="20"/>
          <w:sz w:val="36"/>
        </w:rPr>
        <w:drawing>
          <wp:inline distT="0" distB="0" distL="0" distR="0" wp14:anchorId="14C6D9D3" wp14:editId="2B9F2B8D">
            <wp:extent cx="4057650" cy="946150"/>
            <wp:effectExtent l="0" t="0" r="0" b="6350"/>
            <wp:docPr id="1842191129"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91129" name="图片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7650" cy="946150"/>
                    </a:xfrm>
                    <a:prstGeom prst="rect">
                      <a:avLst/>
                    </a:prstGeom>
                    <a:noFill/>
                    <a:ln>
                      <a:noFill/>
                    </a:ln>
                  </pic:spPr>
                </pic:pic>
              </a:graphicData>
            </a:graphic>
          </wp:inline>
        </w:drawing>
      </w:r>
    </w:p>
    <w:p w14:paraId="1FB06221" w14:textId="77777777" w:rsidR="004D0BEA" w:rsidRDefault="004D0BEA">
      <w:pPr>
        <w:rPr>
          <w:rFonts w:ascii="Calibri" w:hAnsi="Calibri"/>
          <w:szCs w:val="24"/>
        </w:rPr>
      </w:pPr>
    </w:p>
    <w:p w14:paraId="4CB13CC4" w14:textId="77777777" w:rsidR="004D0BEA" w:rsidRDefault="004D0BEA">
      <w:pPr>
        <w:rPr>
          <w:rFonts w:ascii="Calibri" w:hAnsi="Calibri"/>
          <w:szCs w:val="24"/>
        </w:rPr>
      </w:pPr>
    </w:p>
    <w:p w14:paraId="46750E8F" w14:textId="77777777" w:rsidR="004D0BEA" w:rsidRDefault="00000000">
      <w:pPr>
        <w:spacing w:line="480" w:lineRule="auto"/>
        <w:jc w:val="center"/>
        <w:rPr>
          <w:rFonts w:eastAsia="楷体"/>
          <w:b/>
          <w:bCs/>
          <w:sz w:val="44"/>
          <w:szCs w:val="44"/>
        </w:rPr>
      </w:pPr>
      <w:r>
        <w:rPr>
          <w:rFonts w:eastAsia="楷体"/>
          <w:b/>
          <w:bCs/>
          <w:sz w:val="44"/>
          <w:szCs w:val="44"/>
        </w:rPr>
        <w:t>20</w:t>
      </w:r>
      <w:r>
        <w:rPr>
          <w:rFonts w:eastAsia="楷体" w:hint="eastAsia"/>
          <w:b/>
          <w:bCs/>
          <w:sz w:val="44"/>
          <w:szCs w:val="44"/>
        </w:rPr>
        <w:t>24</w:t>
      </w:r>
      <w:r>
        <w:rPr>
          <w:rFonts w:eastAsia="楷体"/>
          <w:b/>
          <w:bCs/>
          <w:sz w:val="44"/>
          <w:szCs w:val="44"/>
        </w:rPr>
        <w:t>—20</w:t>
      </w:r>
      <w:r>
        <w:rPr>
          <w:rFonts w:eastAsia="楷体" w:hint="eastAsia"/>
          <w:b/>
          <w:bCs/>
          <w:sz w:val="44"/>
          <w:szCs w:val="44"/>
        </w:rPr>
        <w:t>25</w:t>
      </w:r>
      <w:r>
        <w:rPr>
          <w:rFonts w:eastAsia="楷体" w:hint="eastAsia"/>
          <w:b/>
          <w:bCs/>
          <w:sz w:val="44"/>
          <w:szCs w:val="44"/>
        </w:rPr>
        <w:t>学年第</w:t>
      </w:r>
      <w:r>
        <w:rPr>
          <w:rFonts w:eastAsia="楷体" w:hint="eastAsia"/>
          <w:b/>
          <w:bCs/>
          <w:sz w:val="44"/>
          <w:szCs w:val="44"/>
        </w:rPr>
        <w:t>2</w:t>
      </w:r>
      <w:r>
        <w:rPr>
          <w:rFonts w:eastAsia="楷体" w:hint="eastAsia"/>
          <w:b/>
          <w:bCs/>
          <w:sz w:val="44"/>
          <w:szCs w:val="44"/>
        </w:rPr>
        <w:t>学期</w:t>
      </w:r>
    </w:p>
    <w:p w14:paraId="13BC583F" w14:textId="77777777" w:rsidR="004D0BEA" w:rsidRDefault="00000000">
      <w:pPr>
        <w:spacing w:line="480" w:lineRule="auto"/>
        <w:jc w:val="center"/>
        <w:rPr>
          <w:rFonts w:eastAsia="楷体"/>
          <w:b/>
          <w:bCs/>
          <w:sz w:val="44"/>
          <w:szCs w:val="44"/>
        </w:rPr>
      </w:pPr>
      <w:bookmarkStart w:id="0" w:name="_Toc182424674"/>
      <w:bookmarkStart w:id="1" w:name="_Toc184120235"/>
      <w:bookmarkStart w:id="2" w:name="_Toc192585459"/>
      <w:bookmarkStart w:id="3" w:name="_Toc183204209"/>
      <w:bookmarkStart w:id="4" w:name="_Toc183203583"/>
      <w:bookmarkStart w:id="5" w:name="_Toc184922972"/>
      <w:r>
        <w:rPr>
          <w:rFonts w:eastAsia="楷体" w:hint="eastAsia"/>
          <w:b/>
          <w:bCs/>
          <w:sz w:val="44"/>
          <w:szCs w:val="44"/>
        </w:rPr>
        <w:t>《工程概论》</w:t>
      </w:r>
      <w:bookmarkEnd w:id="0"/>
      <w:bookmarkEnd w:id="1"/>
      <w:bookmarkEnd w:id="2"/>
      <w:bookmarkEnd w:id="3"/>
      <w:bookmarkEnd w:id="4"/>
      <w:bookmarkEnd w:id="5"/>
      <w:r>
        <w:rPr>
          <w:rFonts w:eastAsia="楷体" w:hint="eastAsia"/>
          <w:b/>
          <w:bCs/>
          <w:sz w:val="44"/>
          <w:szCs w:val="44"/>
        </w:rPr>
        <w:t>专题报告</w:t>
      </w:r>
    </w:p>
    <w:p w14:paraId="3B9229A0" w14:textId="77777777" w:rsidR="004D0BEA" w:rsidRDefault="004D0BEA">
      <w:pPr>
        <w:ind w:firstLine="2"/>
        <w:jc w:val="center"/>
        <w:rPr>
          <w:rFonts w:ascii="Calibri" w:hAnsi="Calibri"/>
          <w:szCs w:val="24"/>
        </w:rPr>
      </w:pPr>
    </w:p>
    <w:p w14:paraId="7153B690" w14:textId="77777777" w:rsidR="004D0BEA" w:rsidRDefault="004D0BEA">
      <w:pPr>
        <w:ind w:firstLine="2"/>
        <w:jc w:val="center"/>
        <w:rPr>
          <w:rFonts w:ascii="Calibri" w:hAnsi="Calibri"/>
          <w:szCs w:val="24"/>
        </w:rPr>
      </w:pPr>
    </w:p>
    <w:p w14:paraId="338FB18B" w14:textId="77777777" w:rsidR="004D0BEA" w:rsidRDefault="00000000">
      <w:pPr>
        <w:jc w:val="center"/>
        <w:rPr>
          <w:rFonts w:eastAsia="楷体"/>
          <w:b/>
          <w:bCs/>
          <w:sz w:val="48"/>
          <w:szCs w:val="48"/>
        </w:rPr>
      </w:pPr>
      <w:r>
        <w:rPr>
          <w:rFonts w:eastAsia="楷体" w:hint="eastAsia"/>
          <w:b/>
          <w:bCs/>
          <w:sz w:val="48"/>
          <w:szCs w:val="48"/>
        </w:rPr>
        <w:t>规章映真，法理明道</w:t>
      </w:r>
    </w:p>
    <w:p w14:paraId="2A9AE575" w14:textId="77777777" w:rsidR="004D0BEA" w:rsidRDefault="00000000">
      <w:pPr>
        <w:jc w:val="right"/>
        <w:rPr>
          <w:rFonts w:eastAsia="楷体"/>
          <w:b/>
          <w:bCs/>
          <w:sz w:val="32"/>
          <w:szCs w:val="32"/>
        </w:rPr>
      </w:pPr>
      <w:r>
        <w:rPr>
          <w:rFonts w:eastAsia="楷体" w:hint="eastAsia"/>
          <w:b/>
          <w:bCs/>
          <w:sz w:val="32"/>
          <w:szCs w:val="32"/>
        </w:rPr>
        <w:t>——电子信息产业案例与法律法规多维探析</w:t>
      </w:r>
    </w:p>
    <w:p w14:paraId="136189AE" w14:textId="77777777" w:rsidR="004D0BEA" w:rsidRDefault="004D0BEA">
      <w:pPr>
        <w:jc w:val="right"/>
        <w:rPr>
          <w:rFonts w:eastAsia="楷体"/>
          <w:b/>
          <w:bCs/>
          <w:sz w:val="32"/>
          <w:szCs w:val="32"/>
        </w:rPr>
      </w:pPr>
    </w:p>
    <w:p w14:paraId="1FEB9953" w14:textId="77777777" w:rsidR="004D0BEA" w:rsidRDefault="004D0BEA">
      <w:pPr>
        <w:jc w:val="right"/>
        <w:rPr>
          <w:rFonts w:eastAsia="楷体"/>
          <w:b/>
          <w:bCs/>
          <w:sz w:val="32"/>
          <w:szCs w:val="32"/>
        </w:rPr>
      </w:pPr>
    </w:p>
    <w:tbl>
      <w:tblPr>
        <w:tblStyle w:val="ac"/>
        <w:tblW w:w="5000" w:type="pct"/>
        <w:tblLook w:val="04A0" w:firstRow="1" w:lastRow="0" w:firstColumn="1" w:lastColumn="0" w:noHBand="0" w:noVBand="1"/>
      </w:tblPr>
      <w:tblGrid>
        <w:gridCol w:w="912"/>
        <w:gridCol w:w="981"/>
        <w:gridCol w:w="1616"/>
        <w:gridCol w:w="2301"/>
        <w:gridCol w:w="1243"/>
        <w:gridCol w:w="1243"/>
      </w:tblGrid>
      <w:tr w:rsidR="009424C0" w14:paraId="0DA3CF36" w14:textId="77777777" w:rsidTr="003B5F68">
        <w:trPr>
          <w:trHeight w:val="624"/>
        </w:trPr>
        <w:tc>
          <w:tcPr>
            <w:tcW w:w="550" w:type="pct"/>
          </w:tcPr>
          <w:p w14:paraId="09E0BD6F" w14:textId="77777777" w:rsidR="009424C0" w:rsidRDefault="009424C0" w:rsidP="003B5F68">
            <w:pPr>
              <w:adjustRightInd w:val="0"/>
              <w:spacing w:line="480" w:lineRule="auto"/>
              <w:jc w:val="center"/>
              <w:rPr>
                <w:rFonts w:eastAsia="楷体"/>
                <w:b/>
                <w:color w:val="000000"/>
                <w:sz w:val="28"/>
                <w:szCs w:val="28"/>
              </w:rPr>
            </w:pPr>
          </w:p>
        </w:tc>
        <w:tc>
          <w:tcPr>
            <w:tcW w:w="591" w:type="pct"/>
          </w:tcPr>
          <w:p w14:paraId="0DD00699" w14:textId="77777777" w:rsidR="009424C0" w:rsidRPr="00A805AB" w:rsidRDefault="009424C0" w:rsidP="003B5F68">
            <w:pPr>
              <w:adjustRightInd w:val="0"/>
              <w:spacing w:line="480" w:lineRule="auto"/>
              <w:jc w:val="center"/>
              <w:rPr>
                <w:rFonts w:eastAsia="楷体"/>
                <w:b/>
                <w:color w:val="000000"/>
                <w:szCs w:val="24"/>
              </w:rPr>
            </w:pPr>
            <w:r w:rsidRPr="00A805AB">
              <w:rPr>
                <w:rFonts w:eastAsia="楷体" w:hint="eastAsia"/>
                <w:b/>
                <w:color w:val="000000"/>
                <w:szCs w:val="24"/>
              </w:rPr>
              <w:t>姓名</w:t>
            </w:r>
          </w:p>
        </w:tc>
        <w:tc>
          <w:tcPr>
            <w:tcW w:w="974" w:type="pct"/>
          </w:tcPr>
          <w:p w14:paraId="0099C2B3" w14:textId="77777777" w:rsidR="009424C0" w:rsidRPr="00A805AB" w:rsidRDefault="009424C0" w:rsidP="003B5F68">
            <w:pPr>
              <w:adjustRightInd w:val="0"/>
              <w:spacing w:line="480" w:lineRule="auto"/>
              <w:jc w:val="center"/>
              <w:rPr>
                <w:rFonts w:eastAsia="楷体"/>
                <w:b/>
                <w:color w:val="000000"/>
                <w:szCs w:val="24"/>
              </w:rPr>
            </w:pPr>
            <w:r w:rsidRPr="00A805AB">
              <w:rPr>
                <w:rFonts w:eastAsia="楷体" w:hint="eastAsia"/>
                <w:b/>
                <w:color w:val="000000"/>
                <w:szCs w:val="24"/>
              </w:rPr>
              <w:t>学号</w:t>
            </w:r>
          </w:p>
        </w:tc>
        <w:tc>
          <w:tcPr>
            <w:tcW w:w="1387" w:type="pct"/>
          </w:tcPr>
          <w:p w14:paraId="25CEF976" w14:textId="77777777" w:rsidR="009424C0" w:rsidRPr="00A805AB" w:rsidRDefault="009424C0" w:rsidP="003B5F68">
            <w:pPr>
              <w:adjustRightInd w:val="0"/>
              <w:spacing w:line="480" w:lineRule="auto"/>
              <w:jc w:val="center"/>
              <w:rPr>
                <w:rFonts w:eastAsia="楷体"/>
                <w:b/>
                <w:color w:val="000000"/>
                <w:szCs w:val="24"/>
              </w:rPr>
            </w:pPr>
            <w:r w:rsidRPr="00A805AB">
              <w:rPr>
                <w:rFonts w:eastAsia="楷体" w:hint="eastAsia"/>
                <w:b/>
                <w:color w:val="000000"/>
                <w:szCs w:val="24"/>
              </w:rPr>
              <w:t>班级</w:t>
            </w:r>
          </w:p>
        </w:tc>
        <w:tc>
          <w:tcPr>
            <w:tcW w:w="749" w:type="pct"/>
          </w:tcPr>
          <w:p w14:paraId="1044F2B2" w14:textId="77777777" w:rsidR="009424C0" w:rsidRPr="00A805AB" w:rsidRDefault="009424C0" w:rsidP="003B5F68">
            <w:pPr>
              <w:adjustRightInd w:val="0"/>
              <w:spacing w:line="480" w:lineRule="auto"/>
              <w:jc w:val="center"/>
              <w:rPr>
                <w:rFonts w:eastAsia="楷体"/>
                <w:b/>
                <w:color w:val="000000"/>
                <w:szCs w:val="24"/>
              </w:rPr>
            </w:pPr>
            <w:r>
              <w:rPr>
                <w:rFonts w:eastAsia="楷体" w:hint="eastAsia"/>
                <w:b/>
                <w:color w:val="000000"/>
                <w:szCs w:val="24"/>
              </w:rPr>
              <w:t>分工说明</w:t>
            </w:r>
          </w:p>
        </w:tc>
        <w:tc>
          <w:tcPr>
            <w:tcW w:w="749" w:type="pct"/>
          </w:tcPr>
          <w:p w14:paraId="401F58F0" w14:textId="77777777" w:rsidR="009424C0" w:rsidRPr="00A805AB" w:rsidRDefault="009424C0" w:rsidP="003B5F68">
            <w:pPr>
              <w:adjustRightInd w:val="0"/>
              <w:spacing w:line="480" w:lineRule="auto"/>
              <w:jc w:val="center"/>
              <w:rPr>
                <w:rFonts w:eastAsia="楷体"/>
                <w:b/>
                <w:color w:val="000000"/>
                <w:szCs w:val="24"/>
              </w:rPr>
            </w:pPr>
            <w:r w:rsidRPr="00A805AB">
              <w:rPr>
                <w:rFonts w:eastAsia="楷体" w:hint="eastAsia"/>
                <w:b/>
                <w:color w:val="000000"/>
                <w:szCs w:val="24"/>
              </w:rPr>
              <w:t>小组打分</w:t>
            </w:r>
          </w:p>
        </w:tc>
      </w:tr>
      <w:tr w:rsidR="009424C0" w14:paraId="58EBAE0F" w14:textId="77777777" w:rsidTr="003B5F68">
        <w:trPr>
          <w:trHeight w:val="624"/>
        </w:trPr>
        <w:tc>
          <w:tcPr>
            <w:tcW w:w="550" w:type="pct"/>
          </w:tcPr>
          <w:p w14:paraId="60510882" w14:textId="77777777" w:rsidR="009424C0" w:rsidRPr="00A805AB" w:rsidRDefault="009424C0" w:rsidP="009424C0">
            <w:pPr>
              <w:adjustRightInd w:val="0"/>
              <w:spacing w:line="480" w:lineRule="auto"/>
              <w:jc w:val="center"/>
              <w:rPr>
                <w:rFonts w:eastAsia="楷体"/>
                <w:b/>
                <w:color w:val="000000"/>
                <w:szCs w:val="24"/>
              </w:rPr>
            </w:pPr>
            <w:r w:rsidRPr="00A805AB">
              <w:rPr>
                <w:rFonts w:eastAsia="楷体" w:hint="eastAsia"/>
                <w:b/>
                <w:color w:val="000000"/>
                <w:szCs w:val="24"/>
              </w:rPr>
              <w:t>组员</w:t>
            </w:r>
            <w:r w:rsidRPr="00A805AB">
              <w:rPr>
                <w:rFonts w:eastAsia="楷体" w:hint="eastAsia"/>
                <w:b/>
                <w:color w:val="000000"/>
                <w:szCs w:val="24"/>
              </w:rPr>
              <w:t>1</w:t>
            </w:r>
          </w:p>
        </w:tc>
        <w:tc>
          <w:tcPr>
            <w:tcW w:w="591" w:type="pct"/>
          </w:tcPr>
          <w:p w14:paraId="1FC03E6B" w14:textId="1BA6C791"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李佳鹏</w:t>
            </w:r>
          </w:p>
        </w:tc>
        <w:tc>
          <w:tcPr>
            <w:tcW w:w="974" w:type="pct"/>
          </w:tcPr>
          <w:p w14:paraId="2D274485" w14:textId="63F3B142"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2209060411</w:t>
            </w:r>
          </w:p>
        </w:tc>
        <w:tc>
          <w:tcPr>
            <w:tcW w:w="1387" w:type="pct"/>
          </w:tcPr>
          <w:p w14:paraId="567C7E41" w14:textId="499336A7"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电子（实验）</w:t>
            </w:r>
            <w:r w:rsidRPr="009424C0">
              <w:rPr>
                <w:rFonts w:eastAsia="楷体" w:hint="eastAsia"/>
                <w:b/>
                <w:color w:val="000000"/>
                <w:szCs w:val="24"/>
              </w:rPr>
              <w:t>2201</w:t>
            </w:r>
          </w:p>
        </w:tc>
        <w:tc>
          <w:tcPr>
            <w:tcW w:w="749" w:type="pct"/>
          </w:tcPr>
          <w:p w14:paraId="01045896" w14:textId="548D7349"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收集观点</w:t>
            </w:r>
          </w:p>
        </w:tc>
        <w:tc>
          <w:tcPr>
            <w:tcW w:w="749" w:type="pct"/>
          </w:tcPr>
          <w:p w14:paraId="1EC72539" w14:textId="77777777" w:rsidR="009424C0" w:rsidRPr="00A805AB" w:rsidRDefault="009424C0" w:rsidP="009424C0">
            <w:pPr>
              <w:adjustRightInd w:val="0"/>
              <w:spacing w:line="480" w:lineRule="auto"/>
              <w:jc w:val="center"/>
              <w:rPr>
                <w:rFonts w:eastAsia="楷体"/>
                <w:b/>
                <w:color w:val="000000"/>
                <w:szCs w:val="24"/>
              </w:rPr>
            </w:pPr>
            <w:r>
              <w:rPr>
                <w:rFonts w:eastAsia="楷体" w:hint="eastAsia"/>
                <w:b/>
                <w:color w:val="000000"/>
                <w:szCs w:val="24"/>
              </w:rPr>
              <w:t>100</w:t>
            </w:r>
            <w:r>
              <w:rPr>
                <w:rFonts w:eastAsia="楷体" w:hint="eastAsia"/>
                <w:b/>
                <w:color w:val="000000"/>
                <w:szCs w:val="24"/>
              </w:rPr>
              <w:t>分</w:t>
            </w:r>
          </w:p>
        </w:tc>
      </w:tr>
      <w:tr w:rsidR="009424C0" w14:paraId="0A112474" w14:textId="77777777" w:rsidTr="003B5F68">
        <w:trPr>
          <w:trHeight w:val="624"/>
        </w:trPr>
        <w:tc>
          <w:tcPr>
            <w:tcW w:w="550" w:type="pct"/>
          </w:tcPr>
          <w:p w14:paraId="64815D2F" w14:textId="77777777" w:rsidR="009424C0" w:rsidRPr="00A805AB" w:rsidRDefault="009424C0" w:rsidP="009424C0">
            <w:pPr>
              <w:adjustRightInd w:val="0"/>
              <w:spacing w:line="480" w:lineRule="auto"/>
              <w:jc w:val="center"/>
              <w:rPr>
                <w:rFonts w:eastAsia="楷体"/>
                <w:b/>
                <w:color w:val="000000"/>
                <w:szCs w:val="24"/>
              </w:rPr>
            </w:pPr>
            <w:r w:rsidRPr="00A805AB">
              <w:rPr>
                <w:rFonts w:eastAsia="楷体" w:hint="eastAsia"/>
                <w:b/>
                <w:color w:val="000000"/>
                <w:szCs w:val="24"/>
              </w:rPr>
              <w:t>组员</w:t>
            </w:r>
            <w:r w:rsidRPr="00A805AB">
              <w:rPr>
                <w:rFonts w:eastAsia="楷体" w:hint="eastAsia"/>
                <w:b/>
                <w:color w:val="000000"/>
                <w:szCs w:val="24"/>
              </w:rPr>
              <w:t>2</w:t>
            </w:r>
          </w:p>
        </w:tc>
        <w:tc>
          <w:tcPr>
            <w:tcW w:w="591" w:type="pct"/>
          </w:tcPr>
          <w:p w14:paraId="51E0D39A" w14:textId="1A7A5389"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冯旌钊</w:t>
            </w:r>
          </w:p>
        </w:tc>
        <w:tc>
          <w:tcPr>
            <w:tcW w:w="974" w:type="pct"/>
          </w:tcPr>
          <w:p w14:paraId="39229AA1" w14:textId="6AB5C2A2"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2209060408</w:t>
            </w:r>
          </w:p>
        </w:tc>
        <w:tc>
          <w:tcPr>
            <w:tcW w:w="1387" w:type="pct"/>
          </w:tcPr>
          <w:p w14:paraId="7F92EA9A" w14:textId="3749A54D"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电子（实验）</w:t>
            </w:r>
            <w:r w:rsidRPr="009424C0">
              <w:rPr>
                <w:rFonts w:eastAsia="楷体" w:hint="eastAsia"/>
                <w:b/>
                <w:color w:val="000000"/>
                <w:szCs w:val="24"/>
              </w:rPr>
              <w:t>2201</w:t>
            </w:r>
          </w:p>
        </w:tc>
        <w:tc>
          <w:tcPr>
            <w:tcW w:w="749" w:type="pct"/>
          </w:tcPr>
          <w:p w14:paraId="423F072A" w14:textId="740FE4B9"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收集观点</w:t>
            </w:r>
          </w:p>
        </w:tc>
        <w:tc>
          <w:tcPr>
            <w:tcW w:w="749" w:type="pct"/>
          </w:tcPr>
          <w:p w14:paraId="07029B6C" w14:textId="77777777" w:rsidR="009424C0" w:rsidRPr="00A805AB" w:rsidRDefault="009424C0" w:rsidP="009424C0">
            <w:pPr>
              <w:adjustRightInd w:val="0"/>
              <w:spacing w:line="480" w:lineRule="auto"/>
              <w:jc w:val="center"/>
              <w:rPr>
                <w:rFonts w:eastAsia="楷体"/>
                <w:b/>
                <w:color w:val="000000"/>
                <w:szCs w:val="24"/>
              </w:rPr>
            </w:pPr>
            <w:r w:rsidRPr="00AB74DC">
              <w:rPr>
                <w:rFonts w:eastAsia="楷体" w:hint="eastAsia"/>
                <w:b/>
                <w:color w:val="000000"/>
                <w:szCs w:val="24"/>
              </w:rPr>
              <w:t>100</w:t>
            </w:r>
            <w:r w:rsidRPr="00AB74DC">
              <w:rPr>
                <w:rFonts w:eastAsia="楷体" w:hint="eastAsia"/>
                <w:b/>
                <w:color w:val="000000"/>
                <w:szCs w:val="24"/>
              </w:rPr>
              <w:t>分</w:t>
            </w:r>
          </w:p>
        </w:tc>
      </w:tr>
      <w:tr w:rsidR="009424C0" w14:paraId="16D9DBF3" w14:textId="77777777" w:rsidTr="003B5F68">
        <w:trPr>
          <w:trHeight w:val="624"/>
        </w:trPr>
        <w:tc>
          <w:tcPr>
            <w:tcW w:w="550" w:type="pct"/>
          </w:tcPr>
          <w:p w14:paraId="4EB01BAE" w14:textId="77777777" w:rsidR="009424C0" w:rsidRPr="00A805AB" w:rsidRDefault="009424C0" w:rsidP="009424C0">
            <w:pPr>
              <w:adjustRightInd w:val="0"/>
              <w:spacing w:line="480" w:lineRule="auto"/>
              <w:jc w:val="center"/>
              <w:rPr>
                <w:rFonts w:eastAsia="楷体"/>
                <w:b/>
                <w:color w:val="000000"/>
                <w:szCs w:val="24"/>
              </w:rPr>
            </w:pPr>
            <w:r w:rsidRPr="00A805AB">
              <w:rPr>
                <w:rFonts w:eastAsia="楷体" w:hint="eastAsia"/>
                <w:b/>
                <w:color w:val="000000"/>
                <w:szCs w:val="24"/>
              </w:rPr>
              <w:t>组员</w:t>
            </w:r>
            <w:r w:rsidRPr="00A805AB">
              <w:rPr>
                <w:rFonts w:eastAsia="楷体" w:hint="eastAsia"/>
                <w:b/>
                <w:color w:val="000000"/>
                <w:szCs w:val="24"/>
              </w:rPr>
              <w:t>3</w:t>
            </w:r>
          </w:p>
        </w:tc>
        <w:tc>
          <w:tcPr>
            <w:tcW w:w="591" w:type="pct"/>
          </w:tcPr>
          <w:p w14:paraId="5522BC20" w14:textId="7B87EE56"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徐银</w:t>
            </w:r>
          </w:p>
        </w:tc>
        <w:tc>
          <w:tcPr>
            <w:tcW w:w="974" w:type="pct"/>
          </w:tcPr>
          <w:p w14:paraId="3097F044" w14:textId="32A1FF07"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2209060418</w:t>
            </w:r>
          </w:p>
        </w:tc>
        <w:tc>
          <w:tcPr>
            <w:tcW w:w="1387" w:type="pct"/>
          </w:tcPr>
          <w:p w14:paraId="4FE935F9" w14:textId="166D9811"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电子（实验）</w:t>
            </w:r>
            <w:r w:rsidRPr="009424C0">
              <w:rPr>
                <w:rFonts w:eastAsia="楷体" w:hint="eastAsia"/>
                <w:b/>
                <w:color w:val="000000"/>
                <w:szCs w:val="24"/>
              </w:rPr>
              <w:t>2201</w:t>
            </w:r>
          </w:p>
        </w:tc>
        <w:tc>
          <w:tcPr>
            <w:tcW w:w="749" w:type="pct"/>
          </w:tcPr>
          <w:p w14:paraId="40C8600F" w14:textId="224ADC74"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整理报告</w:t>
            </w:r>
          </w:p>
        </w:tc>
        <w:tc>
          <w:tcPr>
            <w:tcW w:w="749" w:type="pct"/>
          </w:tcPr>
          <w:p w14:paraId="6219E7AE" w14:textId="77777777" w:rsidR="009424C0" w:rsidRPr="00A805AB" w:rsidRDefault="009424C0" w:rsidP="009424C0">
            <w:pPr>
              <w:adjustRightInd w:val="0"/>
              <w:spacing w:line="480" w:lineRule="auto"/>
              <w:jc w:val="center"/>
              <w:rPr>
                <w:rFonts w:eastAsia="楷体"/>
                <w:b/>
                <w:color w:val="000000"/>
                <w:szCs w:val="24"/>
              </w:rPr>
            </w:pPr>
            <w:r w:rsidRPr="00AB74DC">
              <w:rPr>
                <w:rFonts w:eastAsia="楷体" w:hint="eastAsia"/>
                <w:b/>
                <w:color w:val="000000"/>
                <w:szCs w:val="24"/>
              </w:rPr>
              <w:t>100</w:t>
            </w:r>
            <w:r w:rsidRPr="00AB74DC">
              <w:rPr>
                <w:rFonts w:eastAsia="楷体" w:hint="eastAsia"/>
                <w:b/>
                <w:color w:val="000000"/>
                <w:szCs w:val="24"/>
              </w:rPr>
              <w:t>分</w:t>
            </w:r>
          </w:p>
        </w:tc>
      </w:tr>
      <w:tr w:rsidR="009424C0" w14:paraId="4E2A0979" w14:textId="77777777" w:rsidTr="003B5F68">
        <w:trPr>
          <w:trHeight w:val="624"/>
        </w:trPr>
        <w:tc>
          <w:tcPr>
            <w:tcW w:w="550" w:type="pct"/>
          </w:tcPr>
          <w:p w14:paraId="3ED7B5AC" w14:textId="77777777" w:rsidR="009424C0" w:rsidRPr="00A805AB" w:rsidRDefault="009424C0" w:rsidP="009424C0">
            <w:pPr>
              <w:adjustRightInd w:val="0"/>
              <w:spacing w:line="480" w:lineRule="auto"/>
              <w:jc w:val="center"/>
              <w:rPr>
                <w:rFonts w:eastAsia="楷体"/>
                <w:b/>
                <w:color w:val="000000"/>
                <w:szCs w:val="24"/>
              </w:rPr>
            </w:pPr>
            <w:r w:rsidRPr="00A805AB">
              <w:rPr>
                <w:rFonts w:eastAsia="楷体" w:hint="eastAsia"/>
                <w:b/>
                <w:color w:val="000000"/>
                <w:szCs w:val="24"/>
              </w:rPr>
              <w:t>组员</w:t>
            </w:r>
            <w:r w:rsidRPr="00A805AB">
              <w:rPr>
                <w:rFonts w:eastAsia="楷体" w:hint="eastAsia"/>
                <w:b/>
                <w:color w:val="000000"/>
                <w:szCs w:val="24"/>
              </w:rPr>
              <w:t>4</w:t>
            </w:r>
          </w:p>
        </w:tc>
        <w:tc>
          <w:tcPr>
            <w:tcW w:w="591" w:type="pct"/>
          </w:tcPr>
          <w:p w14:paraId="74614A64" w14:textId="413D7DC0"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刘欣</w:t>
            </w:r>
          </w:p>
        </w:tc>
        <w:tc>
          <w:tcPr>
            <w:tcW w:w="974" w:type="pct"/>
          </w:tcPr>
          <w:p w14:paraId="536FE666" w14:textId="0AA2A10E" w:rsidR="009424C0" w:rsidRPr="009424C0" w:rsidRDefault="009424C0" w:rsidP="009424C0">
            <w:pPr>
              <w:adjustRightInd w:val="0"/>
              <w:spacing w:line="480" w:lineRule="auto"/>
              <w:jc w:val="center"/>
              <w:rPr>
                <w:rFonts w:eastAsia="楷体"/>
                <w:b/>
                <w:color w:val="000000"/>
                <w:szCs w:val="24"/>
              </w:rPr>
            </w:pPr>
            <w:r w:rsidRPr="009424C0">
              <w:rPr>
                <w:rFonts w:eastAsia="楷体"/>
                <w:b/>
                <w:color w:val="000000"/>
                <w:szCs w:val="24"/>
              </w:rPr>
              <w:t>2009060319</w:t>
            </w:r>
          </w:p>
        </w:tc>
        <w:tc>
          <w:tcPr>
            <w:tcW w:w="1387" w:type="pct"/>
          </w:tcPr>
          <w:p w14:paraId="06E6AB81" w14:textId="2A5AF65E"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电子（实验）</w:t>
            </w:r>
            <w:r w:rsidRPr="009424C0">
              <w:rPr>
                <w:rFonts w:eastAsia="楷体" w:hint="eastAsia"/>
                <w:b/>
                <w:color w:val="000000"/>
                <w:szCs w:val="24"/>
              </w:rPr>
              <w:t>2201</w:t>
            </w:r>
          </w:p>
        </w:tc>
        <w:tc>
          <w:tcPr>
            <w:tcW w:w="749" w:type="pct"/>
          </w:tcPr>
          <w:p w14:paraId="5A4E1C2C" w14:textId="63489991"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整理报告</w:t>
            </w:r>
          </w:p>
        </w:tc>
        <w:tc>
          <w:tcPr>
            <w:tcW w:w="749" w:type="pct"/>
          </w:tcPr>
          <w:p w14:paraId="019BB98D" w14:textId="77777777" w:rsidR="009424C0" w:rsidRPr="00A805AB" w:rsidRDefault="009424C0" w:rsidP="009424C0">
            <w:pPr>
              <w:adjustRightInd w:val="0"/>
              <w:spacing w:line="480" w:lineRule="auto"/>
              <w:jc w:val="center"/>
              <w:rPr>
                <w:rFonts w:eastAsia="楷体"/>
                <w:b/>
                <w:color w:val="000000"/>
                <w:szCs w:val="24"/>
              </w:rPr>
            </w:pPr>
            <w:r w:rsidRPr="00AB74DC">
              <w:rPr>
                <w:rFonts w:eastAsia="楷体" w:hint="eastAsia"/>
                <w:b/>
                <w:color w:val="000000"/>
                <w:szCs w:val="24"/>
              </w:rPr>
              <w:t>100</w:t>
            </w:r>
            <w:r w:rsidRPr="00AB74DC">
              <w:rPr>
                <w:rFonts w:eastAsia="楷体" w:hint="eastAsia"/>
                <w:b/>
                <w:color w:val="000000"/>
                <w:szCs w:val="24"/>
              </w:rPr>
              <w:t>分</w:t>
            </w:r>
          </w:p>
        </w:tc>
      </w:tr>
      <w:tr w:rsidR="009424C0" w14:paraId="24D02C02" w14:textId="77777777" w:rsidTr="003B5F68">
        <w:trPr>
          <w:trHeight w:val="624"/>
        </w:trPr>
        <w:tc>
          <w:tcPr>
            <w:tcW w:w="550" w:type="pct"/>
          </w:tcPr>
          <w:p w14:paraId="3DBA4A17" w14:textId="77777777" w:rsidR="009424C0" w:rsidRPr="00A805AB" w:rsidRDefault="009424C0" w:rsidP="009424C0">
            <w:pPr>
              <w:adjustRightInd w:val="0"/>
              <w:spacing w:line="480" w:lineRule="auto"/>
              <w:jc w:val="center"/>
              <w:rPr>
                <w:rFonts w:eastAsia="楷体"/>
                <w:b/>
                <w:color w:val="000000"/>
                <w:szCs w:val="24"/>
              </w:rPr>
            </w:pPr>
            <w:r w:rsidRPr="00A805AB">
              <w:rPr>
                <w:rFonts w:eastAsia="楷体" w:hint="eastAsia"/>
                <w:b/>
                <w:color w:val="000000"/>
                <w:szCs w:val="24"/>
              </w:rPr>
              <w:t>组员</w:t>
            </w:r>
            <w:r w:rsidRPr="00A805AB">
              <w:rPr>
                <w:rFonts w:eastAsia="楷体" w:hint="eastAsia"/>
                <w:b/>
                <w:color w:val="000000"/>
                <w:szCs w:val="24"/>
              </w:rPr>
              <w:t>5</w:t>
            </w:r>
          </w:p>
        </w:tc>
        <w:tc>
          <w:tcPr>
            <w:tcW w:w="591" w:type="pct"/>
          </w:tcPr>
          <w:p w14:paraId="2EB91F36" w14:textId="50B3CF8D"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石健滨</w:t>
            </w:r>
          </w:p>
        </w:tc>
        <w:tc>
          <w:tcPr>
            <w:tcW w:w="974" w:type="pct"/>
          </w:tcPr>
          <w:p w14:paraId="0EEF1FB4" w14:textId="0F08F4BB" w:rsidR="009424C0" w:rsidRPr="009424C0" w:rsidRDefault="009424C0" w:rsidP="009424C0">
            <w:pPr>
              <w:adjustRightInd w:val="0"/>
              <w:spacing w:line="480" w:lineRule="auto"/>
              <w:jc w:val="center"/>
              <w:rPr>
                <w:rFonts w:eastAsia="楷体"/>
                <w:b/>
                <w:color w:val="000000"/>
                <w:szCs w:val="24"/>
              </w:rPr>
            </w:pPr>
            <w:r w:rsidRPr="009424C0">
              <w:rPr>
                <w:rFonts w:eastAsia="楷体"/>
                <w:b/>
                <w:color w:val="000000"/>
                <w:szCs w:val="24"/>
              </w:rPr>
              <w:t>2209060218</w:t>
            </w:r>
          </w:p>
        </w:tc>
        <w:tc>
          <w:tcPr>
            <w:tcW w:w="1387" w:type="pct"/>
          </w:tcPr>
          <w:p w14:paraId="06A00201" w14:textId="7A8F168E"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电子（实验）</w:t>
            </w:r>
            <w:r w:rsidRPr="009424C0">
              <w:rPr>
                <w:rFonts w:eastAsia="楷体" w:hint="eastAsia"/>
                <w:b/>
                <w:color w:val="000000"/>
                <w:szCs w:val="24"/>
              </w:rPr>
              <w:t>2201</w:t>
            </w:r>
          </w:p>
        </w:tc>
        <w:tc>
          <w:tcPr>
            <w:tcW w:w="749" w:type="pct"/>
          </w:tcPr>
          <w:p w14:paraId="43798A06" w14:textId="5371B721"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制作</w:t>
            </w:r>
            <w:r w:rsidRPr="009424C0">
              <w:rPr>
                <w:rFonts w:eastAsia="楷体" w:hint="eastAsia"/>
                <w:b/>
                <w:color w:val="000000"/>
                <w:szCs w:val="24"/>
              </w:rPr>
              <w:t>ppt</w:t>
            </w:r>
          </w:p>
        </w:tc>
        <w:tc>
          <w:tcPr>
            <w:tcW w:w="749" w:type="pct"/>
          </w:tcPr>
          <w:p w14:paraId="28B0E1B9" w14:textId="77777777" w:rsidR="009424C0" w:rsidRPr="00A805AB" w:rsidRDefault="009424C0" w:rsidP="009424C0">
            <w:pPr>
              <w:adjustRightInd w:val="0"/>
              <w:spacing w:line="480" w:lineRule="auto"/>
              <w:jc w:val="center"/>
              <w:rPr>
                <w:rFonts w:eastAsia="楷体"/>
                <w:b/>
                <w:color w:val="000000"/>
                <w:szCs w:val="24"/>
              </w:rPr>
            </w:pPr>
            <w:r w:rsidRPr="00AB74DC">
              <w:rPr>
                <w:rFonts w:eastAsia="楷体" w:hint="eastAsia"/>
                <w:b/>
                <w:color w:val="000000"/>
                <w:szCs w:val="24"/>
              </w:rPr>
              <w:t>100</w:t>
            </w:r>
            <w:r w:rsidRPr="00AB74DC">
              <w:rPr>
                <w:rFonts w:eastAsia="楷体" w:hint="eastAsia"/>
                <w:b/>
                <w:color w:val="000000"/>
                <w:szCs w:val="24"/>
              </w:rPr>
              <w:t>分</w:t>
            </w:r>
          </w:p>
        </w:tc>
      </w:tr>
      <w:tr w:rsidR="009424C0" w14:paraId="11468A61" w14:textId="77777777" w:rsidTr="003B5F68">
        <w:trPr>
          <w:trHeight w:val="624"/>
        </w:trPr>
        <w:tc>
          <w:tcPr>
            <w:tcW w:w="550" w:type="pct"/>
          </w:tcPr>
          <w:p w14:paraId="61350C3C" w14:textId="77777777" w:rsidR="009424C0" w:rsidRPr="00A805AB" w:rsidRDefault="009424C0" w:rsidP="009424C0">
            <w:pPr>
              <w:adjustRightInd w:val="0"/>
              <w:spacing w:line="480" w:lineRule="auto"/>
              <w:jc w:val="center"/>
              <w:rPr>
                <w:rFonts w:eastAsia="楷体"/>
                <w:b/>
                <w:color w:val="000000"/>
                <w:szCs w:val="24"/>
              </w:rPr>
            </w:pPr>
            <w:r w:rsidRPr="00A805AB">
              <w:rPr>
                <w:rFonts w:eastAsia="楷体" w:hint="eastAsia"/>
                <w:b/>
                <w:color w:val="000000"/>
                <w:szCs w:val="24"/>
              </w:rPr>
              <w:t>组员</w:t>
            </w:r>
            <w:r w:rsidRPr="00A805AB">
              <w:rPr>
                <w:rFonts w:eastAsia="楷体" w:hint="eastAsia"/>
                <w:b/>
                <w:color w:val="000000"/>
                <w:szCs w:val="24"/>
              </w:rPr>
              <w:t>6</w:t>
            </w:r>
          </w:p>
        </w:tc>
        <w:tc>
          <w:tcPr>
            <w:tcW w:w="591" w:type="pct"/>
          </w:tcPr>
          <w:p w14:paraId="4B234CE3" w14:textId="19C97AEB"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随宇昂</w:t>
            </w:r>
          </w:p>
        </w:tc>
        <w:tc>
          <w:tcPr>
            <w:tcW w:w="974" w:type="pct"/>
          </w:tcPr>
          <w:p w14:paraId="24497A4E" w14:textId="1E406F3D" w:rsidR="009424C0" w:rsidRPr="009424C0" w:rsidRDefault="009424C0" w:rsidP="009424C0">
            <w:pPr>
              <w:adjustRightInd w:val="0"/>
              <w:spacing w:line="480" w:lineRule="auto"/>
              <w:jc w:val="center"/>
              <w:rPr>
                <w:rFonts w:eastAsia="楷体"/>
                <w:b/>
                <w:color w:val="000000"/>
                <w:szCs w:val="24"/>
              </w:rPr>
            </w:pPr>
            <w:r w:rsidRPr="009424C0">
              <w:rPr>
                <w:rFonts w:eastAsia="楷体"/>
                <w:b/>
                <w:color w:val="000000"/>
                <w:szCs w:val="24"/>
              </w:rPr>
              <w:t>2209060312</w:t>
            </w:r>
          </w:p>
        </w:tc>
        <w:tc>
          <w:tcPr>
            <w:tcW w:w="1387" w:type="pct"/>
          </w:tcPr>
          <w:p w14:paraId="31E5D402" w14:textId="536EA20D"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电子（实验）</w:t>
            </w:r>
            <w:r w:rsidRPr="009424C0">
              <w:rPr>
                <w:rFonts w:eastAsia="楷体" w:hint="eastAsia"/>
                <w:b/>
                <w:color w:val="000000"/>
                <w:szCs w:val="24"/>
              </w:rPr>
              <w:t>2201</w:t>
            </w:r>
          </w:p>
        </w:tc>
        <w:tc>
          <w:tcPr>
            <w:tcW w:w="749" w:type="pct"/>
          </w:tcPr>
          <w:p w14:paraId="59032A1D" w14:textId="2EFF96F6" w:rsidR="009424C0" w:rsidRPr="009424C0" w:rsidRDefault="009424C0" w:rsidP="009424C0">
            <w:pPr>
              <w:adjustRightInd w:val="0"/>
              <w:spacing w:line="480" w:lineRule="auto"/>
              <w:jc w:val="center"/>
              <w:rPr>
                <w:rFonts w:eastAsia="楷体"/>
                <w:b/>
                <w:color w:val="000000"/>
                <w:szCs w:val="24"/>
              </w:rPr>
            </w:pPr>
            <w:r w:rsidRPr="009424C0">
              <w:rPr>
                <w:rFonts w:eastAsia="楷体" w:hint="eastAsia"/>
                <w:b/>
                <w:color w:val="000000"/>
                <w:szCs w:val="24"/>
              </w:rPr>
              <w:t>答辩汇报</w:t>
            </w:r>
          </w:p>
        </w:tc>
        <w:tc>
          <w:tcPr>
            <w:tcW w:w="749" w:type="pct"/>
          </w:tcPr>
          <w:p w14:paraId="69738F1F" w14:textId="77777777" w:rsidR="009424C0" w:rsidRPr="00A805AB" w:rsidRDefault="009424C0" w:rsidP="009424C0">
            <w:pPr>
              <w:adjustRightInd w:val="0"/>
              <w:spacing w:line="480" w:lineRule="auto"/>
              <w:jc w:val="center"/>
              <w:rPr>
                <w:rFonts w:eastAsia="楷体"/>
                <w:b/>
                <w:color w:val="000000"/>
                <w:szCs w:val="24"/>
              </w:rPr>
            </w:pPr>
            <w:r w:rsidRPr="00AB74DC">
              <w:rPr>
                <w:rFonts w:eastAsia="楷体" w:hint="eastAsia"/>
                <w:b/>
                <w:color w:val="000000"/>
                <w:szCs w:val="24"/>
              </w:rPr>
              <w:t>100</w:t>
            </w:r>
            <w:r w:rsidRPr="00AB74DC">
              <w:rPr>
                <w:rFonts w:eastAsia="楷体" w:hint="eastAsia"/>
                <w:b/>
                <w:color w:val="000000"/>
                <w:szCs w:val="24"/>
              </w:rPr>
              <w:t>分</w:t>
            </w:r>
          </w:p>
        </w:tc>
      </w:tr>
    </w:tbl>
    <w:p w14:paraId="3B89008F" w14:textId="77777777" w:rsidR="004D0BEA" w:rsidRDefault="004D0BEA">
      <w:pPr>
        <w:rPr>
          <w:rFonts w:eastAsia="楷体"/>
          <w:b/>
          <w:color w:val="000000"/>
          <w:sz w:val="32"/>
          <w:szCs w:val="32"/>
        </w:rPr>
      </w:pPr>
    </w:p>
    <w:p w14:paraId="11E745FE" w14:textId="77777777" w:rsidR="004D0BEA" w:rsidRDefault="004D0BEA">
      <w:pPr>
        <w:rPr>
          <w:rFonts w:eastAsia="楷体"/>
          <w:b/>
          <w:bCs/>
          <w:color w:val="FF0000"/>
          <w:szCs w:val="22"/>
        </w:rPr>
      </w:pPr>
    </w:p>
    <w:p w14:paraId="7074E528" w14:textId="77777777" w:rsidR="004D0BEA" w:rsidRDefault="004D0BEA">
      <w:pPr>
        <w:rPr>
          <w:rFonts w:eastAsia="楷体"/>
          <w:b/>
          <w:bCs/>
          <w:color w:val="FF0000"/>
          <w:szCs w:val="22"/>
        </w:rPr>
      </w:pPr>
    </w:p>
    <w:p w14:paraId="4F881F19" w14:textId="77777777" w:rsidR="004D0BEA" w:rsidRDefault="00000000">
      <w:pPr>
        <w:jc w:val="center"/>
        <w:rPr>
          <w:rFonts w:eastAsia="楷体"/>
          <w:b/>
          <w:color w:val="000000"/>
          <w:sz w:val="36"/>
          <w:szCs w:val="36"/>
        </w:rPr>
      </w:pPr>
      <w:r>
        <w:rPr>
          <w:rFonts w:eastAsia="楷体" w:hint="eastAsia"/>
          <w:b/>
          <w:color w:val="000000"/>
          <w:sz w:val="36"/>
          <w:szCs w:val="36"/>
        </w:rPr>
        <w:t>2025</w:t>
      </w:r>
      <w:r>
        <w:rPr>
          <w:rFonts w:eastAsia="楷体" w:hint="eastAsia"/>
          <w:b/>
          <w:color w:val="000000"/>
          <w:sz w:val="36"/>
          <w:szCs w:val="36"/>
        </w:rPr>
        <w:t>年</w:t>
      </w:r>
      <w:r>
        <w:rPr>
          <w:rFonts w:eastAsia="楷体" w:hint="eastAsia"/>
          <w:b/>
          <w:color w:val="000000"/>
          <w:sz w:val="36"/>
          <w:szCs w:val="36"/>
        </w:rPr>
        <w:t>3</w:t>
      </w:r>
      <w:r>
        <w:rPr>
          <w:rFonts w:eastAsia="楷体" w:hint="eastAsia"/>
          <w:b/>
          <w:color w:val="000000"/>
          <w:sz w:val="36"/>
          <w:szCs w:val="36"/>
        </w:rPr>
        <w:t>月</w:t>
      </w:r>
      <w:r>
        <w:rPr>
          <w:rFonts w:eastAsia="楷体" w:hint="eastAsia"/>
          <w:b/>
          <w:color w:val="000000"/>
          <w:sz w:val="36"/>
          <w:szCs w:val="36"/>
        </w:rPr>
        <w:t>29</w:t>
      </w:r>
      <w:r>
        <w:rPr>
          <w:rFonts w:eastAsia="楷体" w:hint="eastAsia"/>
          <w:b/>
          <w:color w:val="000000"/>
          <w:sz w:val="36"/>
          <w:szCs w:val="36"/>
        </w:rPr>
        <w:t>日</w:t>
      </w:r>
      <w:r>
        <w:rPr>
          <w:rFonts w:eastAsia="楷体"/>
          <w:b/>
          <w:color w:val="000000"/>
          <w:sz w:val="36"/>
          <w:szCs w:val="36"/>
        </w:rPr>
        <w:br w:type="page"/>
      </w:r>
    </w:p>
    <w:p w14:paraId="341DEDC1" w14:textId="77777777" w:rsidR="004D0BEA" w:rsidRDefault="004D0BEA">
      <w:pPr>
        <w:rPr>
          <w:rFonts w:ascii="黑体" w:eastAsia="黑体" w:hAnsi="Calibri"/>
          <w:sz w:val="30"/>
          <w:szCs w:val="30"/>
        </w:rPr>
        <w:sectPr w:rsidR="004D0BEA">
          <w:pgSz w:w="11906" w:h="16838"/>
          <w:pgMar w:top="1440" w:right="1800" w:bottom="1440" w:left="1800" w:header="851" w:footer="992" w:gutter="0"/>
          <w:pgNumType w:start="1"/>
          <w:cols w:space="425"/>
          <w:docGrid w:type="lines" w:linePitch="312"/>
        </w:sectPr>
      </w:pPr>
    </w:p>
    <w:sdt>
      <w:sdtPr>
        <w:rPr>
          <w:rFonts w:ascii="Times New Roman" w:eastAsia="宋体" w:hAnsi="Times New Roman" w:cs="Times New Roman"/>
          <w:color w:val="auto"/>
          <w:kern w:val="2"/>
          <w:sz w:val="24"/>
          <w:szCs w:val="20"/>
          <w:lang w:val="zh-CN"/>
        </w:rPr>
        <w:id w:val="-12000628"/>
        <w:docPartObj>
          <w:docPartGallery w:val="Table of Contents"/>
          <w:docPartUnique/>
        </w:docPartObj>
      </w:sdtPr>
      <w:sdtEndPr>
        <w:rPr>
          <w:b/>
          <w:bCs/>
        </w:rPr>
      </w:sdtEndPr>
      <w:sdtContent>
        <w:p w14:paraId="5D6BFF4D" w14:textId="7C165416" w:rsidR="002F66C6" w:rsidRPr="002F66C6" w:rsidRDefault="002F66C6" w:rsidP="002F66C6">
          <w:pPr>
            <w:pStyle w:val="TOC"/>
            <w:jc w:val="center"/>
            <w:rPr>
              <w:rFonts w:ascii="宋体" w:eastAsia="宋体" w:hAnsi="宋体" w:hint="eastAsia"/>
              <w:b/>
              <w:bCs/>
              <w:color w:val="auto"/>
              <w:sz w:val="36"/>
              <w:szCs w:val="36"/>
            </w:rPr>
          </w:pPr>
          <w:r w:rsidRPr="002F66C6">
            <w:rPr>
              <w:rFonts w:ascii="宋体" w:eastAsia="宋体" w:hAnsi="宋体"/>
              <w:b/>
              <w:bCs/>
              <w:color w:val="auto"/>
              <w:sz w:val="36"/>
              <w:szCs w:val="36"/>
              <w:lang w:val="zh-CN"/>
            </w:rPr>
            <w:t>目录</w:t>
          </w:r>
        </w:p>
        <w:p w14:paraId="5F2F24E3" w14:textId="6CA1BDDC" w:rsidR="002F66C6" w:rsidRDefault="002F66C6" w:rsidP="002F66C6">
          <w:pPr>
            <w:pStyle w:val="TOC1"/>
            <w:spacing w:line="420" w:lineRule="atLeast"/>
            <w:rPr>
              <w:rFonts w:asciiTheme="minorHAnsi" w:eastAsiaTheme="minorEastAsia" w:hAnsiTheme="minorHAnsi" w:cstheme="minorBidi" w:hint="eastAsia"/>
              <w:noProof/>
              <w:sz w:val="22"/>
              <w:szCs w:val="24"/>
              <w14:ligatures w14:val="standardContextual"/>
            </w:rPr>
          </w:pPr>
          <w:r>
            <w:fldChar w:fldCharType="begin"/>
          </w:r>
          <w:r>
            <w:instrText xml:space="preserve"> TOC \o "1-3" \h \z \u </w:instrText>
          </w:r>
          <w:r>
            <w:fldChar w:fldCharType="separate"/>
          </w:r>
          <w:hyperlink w:anchor="_Toc194005773" w:history="1">
            <w:r w:rsidRPr="00503E20">
              <w:rPr>
                <w:rStyle w:val="af0"/>
                <w:rFonts w:hint="eastAsia"/>
                <w:noProof/>
              </w:rPr>
              <w:t>一、</w:t>
            </w:r>
            <w:r w:rsidRPr="00503E20">
              <w:rPr>
                <w:rStyle w:val="af0"/>
                <w:rFonts w:hint="eastAsia"/>
                <w:noProof/>
              </w:rPr>
              <w:t xml:space="preserve"> </w:t>
            </w:r>
            <w:r w:rsidRPr="00503E20">
              <w:rPr>
                <w:rStyle w:val="af0"/>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2EA7032A" w14:textId="3002A5CC" w:rsidR="002F66C6" w:rsidRDefault="002F66C6" w:rsidP="002F66C6">
          <w:pPr>
            <w:pStyle w:val="TOC1"/>
            <w:spacing w:line="420" w:lineRule="atLeast"/>
            <w:rPr>
              <w:rFonts w:asciiTheme="minorHAnsi" w:eastAsiaTheme="minorEastAsia" w:hAnsiTheme="minorHAnsi" w:cstheme="minorBidi" w:hint="eastAsia"/>
              <w:noProof/>
              <w:sz w:val="22"/>
              <w:szCs w:val="24"/>
              <w14:ligatures w14:val="standardContextual"/>
            </w:rPr>
          </w:pPr>
          <w:hyperlink w:anchor="_Toc194005774" w:history="1">
            <w:r w:rsidRPr="00503E20">
              <w:rPr>
                <w:rStyle w:val="af0"/>
                <w:rFonts w:hint="eastAsia"/>
                <w:noProof/>
              </w:rPr>
              <w:t>二、</w:t>
            </w:r>
            <w:r w:rsidRPr="00503E20">
              <w:rPr>
                <w:rStyle w:val="af0"/>
                <w:rFonts w:hint="eastAsia"/>
                <w:noProof/>
              </w:rPr>
              <w:t xml:space="preserve"> </w:t>
            </w:r>
            <w:r w:rsidRPr="00503E20">
              <w:rPr>
                <w:rStyle w:val="af0"/>
                <w:rFonts w:hint="eastAsia"/>
                <w:noProof/>
              </w:rPr>
              <w:t>电子信息产业法律法规清单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58312EE9" w14:textId="286AF9BE" w:rsidR="002F66C6" w:rsidRDefault="002F66C6" w:rsidP="002F66C6">
          <w:pPr>
            <w:pStyle w:val="TOC1"/>
            <w:spacing w:line="420" w:lineRule="atLeast"/>
            <w:rPr>
              <w:rFonts w:asciiTheme="minorHAnsi" w:eastAsiaTheme="minorEastAsia" w:hAnsiTheme="minorHAnsi" w:cstheme="minorBidi" w:hint="eastAsia"/>
              <w:noProof/>
              <w:sz w:val="22"/>
              <w:szCs w:val="24"/>
              <w14:ligatures w14:val="standardContextual"/>
            </w:rPr>
          </w:pPr>
          <w:hyperlink w:anchor="_Toc194005775" w:history="1">
            <w:r w:rsidRPr="00503E20">
              <w:rPr>
                <w:rStyle w:val="af0"/>
                <w:rFonts w:hint="eastAsia"/>
                <w:noProof/>
              </w:rPr>
              <w:t>三、</w:t>
            </w:r>
            <w:r w:rsidRPr="00503E20">
              <w:rPr>
                <w:rStyle w:val="af0"/>
                <w:rFonts w:hint="eastAsia"/>
                <w:noProof/>
              </w:rPr>
              <w:t xml:space="preserve"> </w:t>
            </w:r>
            <w:r w:rsidRPr="00503E20">
              <w:rPr>
                <w:rStyle w:val="af0"/>
                <w:rFonts w:hint="eastAsia"/>
                <w:noProof/>
              </w:rPr>
              <w:t>知识产权案例剖析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1E17383" w14:textId="146F2628" w:rsidR="002F66C6" w:rsidRDefault="002F66C6" w:rsidP="002F66C6">
          <w:pPr>
            <w:pStyle w:val="TOC2"/>
            <w:tabs>
              <w:tab w:val="right" w:leader="dot" w:pos="8296"/>
            </w:tabs>
            <w:spacing w:line="420" w:lineRule="atLeast"/>
            <w:ind w:left="480"/>
            <w:rPr>
              <w:rFonts w:asciiTheme="minorHAnsi" w:eastAsiaTheme="minorEastAsia" w:hAnsiTheme="minorHAnsi" w:cstheme="minorBidi" w:hint="eastAsia"/>
              <w:noProof/>
              <w:sz w:val="22"/>
              <w:szCs w:val="24"/>
              <w14:ligatures w14:val="standardContextual"/>
            </w:rPr>
          </w:pPr>
          <w:hyperlink w:anchor="_Toc194005776" w:history="1">
            <w:r w:rsidRPr="00503E20">
              <w:rPr>
                <w:rStyle w:val="af0"/>
                <w:rFonts w:hint="eastAsia"/>
                <w:noProof/>
              </w:rPr>
              <w:t xml:space="preserve">3.1 </w:t>
            </w:r>
            <w:r w:rsidRPr="00503E20">
              <w:rPr>
                <w:rStyle w:val="af0"/>
                <w:rFonts w:hint="eastAsia"/>
                <w:noProof/>
              </w:rPr>
              <w:t>案例背景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11964BE" w14:textId="2AD32732" w:rsidR="002F66C6" w:rsidRDefault="002F66C6" w:rsidP="002F66C6">
          <w:pPr>
            <w:pStyle w:val="TOC2"/>
            <w:tabs>
              <w:tab w:val="right" w:leader="dot" w:pos="8296"/>
            </w:tabs>
            <w:spacing w:line="420" w:lineRule="atLeast"/>
            <w:ind w:left="480"/>
            <w:rPr>
              <w:rFonts w:asciiTheme="minorHAnsi" w:eastAsiaTheme="minorEastAsia" w:hAnsiTheme="minorHAnsi" w:cstheme="minorBidi" w:hint="eastAsia"/>
              <w:noProof/>
              <w:sz w:val="22"/>
              <w:szCs w:val="24"/>
              <w14:ligatures w14:val="standardContextual"/>
            </w:rPr>
          </w:pPr>
          <w:hyperlink w:anchor="_Toc194005777" w:history="1">
            <w:r w:rsidRPr="00503E20">
              <w:rPr>
                <w:rStyle w:val="af0"/>
                <w:rFonts w:hint="eastAsia"/>
                <w:noProof/>
              </w:rPr>
              <w:t xml:space="preserve">3.2 </w:t>
            </w:r>
            <w:r w:rsidRPr="00503E20">
              <w:rPr>
                <w:rStyle w:val="af0"/>
                <w:rFonts w:hint="eastAsia"/>
                <w:noProof/>
              </w:rPr>
              <w:t>原因分析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63ACC79" w14:textId="0F04FDDB"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78" w:history="1">
            <w:r w:rsidRPr="00503E20">
              <w:rPr>
                <w:rStyle w:val="af0"/>
                <w:rFonts w:hint="eastAsia"/>
                <w:noProof/>
              </w:rPr>
              <w:t xml:space="preserve">3.2.1 </w:t>
            </w:r>
            <w:r w:rsidRPr="00503E20">
              <w:rPr>
                <w:rStyle w:val="af0"/>
                <w:rFonts w:hint="eastAsia"/>
                <w:noProof/>
              </w:rPr>
              <w:t>商标侵权行为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8C33D1C" w14:textId="785134B7"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79" w:history="1">
            <w:r w:rsidRPr="00503E20">
              <w:rPr>
                <w:rStyle w:val="af0"/>
                <w:rFonts w:hint="eastAsia"/>
                <w:noProof/>
              </w:rPr>
              <w:t xml:space="preserve">3.2.2 </w:t>
            </w:r>
            <w:r w:rsidRPr="00503E20">
              <w:rPr>
                <w:rStyle w:val="af0"/>
                <w:rFonts w:hint="eastAsia"/>
                <w:noProof/>
              </w:rPr>
              <w:t>不正当竞争行为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50C3E75" w14:textId="316B6B15"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80" w:history="1">
            <w:r w:rsidRPr="00503E20">
              <w:rPr>
                <w:rStyle w:val="af0"/>
                <w:rFonts w:hint="eastAsia"/>
                <w:noProof/>
              </w:rPr>
              <w:t xml:space="preserve">3.2.3 </w:t>
            </w:r>
            <w:r w:rsidRPr="00503E20">
              <w:rPr>
                <w:rStyle w:val="af0"/>
                <w:rFonts w:hint="eastAsia"/>
                <w:noProof/>
              </w:rPr>
              <w:t>高额赔偿与连带责任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1C4B578" w14:textId="3D97B05D" w:rsidR="002F66C6" w:rsidRDefault="002F66C6" w:rsidP="002F66C6">
          <w:pPr>
            <w:pStyle w:val="TOC2"/>
            <w:tabs>
              <w:tab w:val="right" w:leader="dot" w:pos="8296"/>
            </w:tabs>
            <w:spacing w:line="420" w:lineRule="atLeast"/>
            <w:ind w:left="480"/>
            <w:rPr>
              <w:rFonts w:asciiTheme="minorHAnsi" w:eastAsiaTheme="minorEastAsia" w:hAnsiTheme="minorHAnsi" w:cstheme="minorBidi" w:hint="eastAsia"/>
              <w:noProof/>
              <w:sz w:val="22"/>
              <w:szCs w:val="24"/>
              <w14:ligatures w14:val="standardContextual"/>
            </w:rPr>
          </w:pPr>
          <w:hyperlink w:anchor="_Toc194005781" w:history="1">
            <w:r w:rsidRPr="00503E20">
              <w:rPr>
                <w:rStyle w:val="af0"/>
                <w:rFonts w:hint="eastAsia"/>
                <w:noProof/>
              </w:rPr>
              <w:t xml:space="preserve">3.3 </w:t>
            </w:r>
            <w:r w:rsidRPr="00503E20">
              <w:rPr>
                <w:rStyle w:val="af0"/>
                <w:rFonts w:hint="eastAsia"/>
                <w:noProof/>
              </w:rPr>
              <w:t>反思与警示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2728174" w14:textId="17A7E1CA"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82" w:history="1">
            <w:r w:rsidRPr="00503E20">
              <w:rPr>
                <w:rStyle w:val="af0"/>
                <w:rFonts w:hint="eastAsia"/>
                <w:noProof/>
              </w:rPr>
              <w:t xml:space="preserve">3.3.1 </w:t>
            </w:r>
            <w:r w:rsidRPr="00503E20">
              <w:rPr>
                <w:rStyle w:val="af0"/>
                <w:rFonts w:hint="eastAsia"/>
                <w:noProof/>
              </w:rPr>
              <w:t>企业合规管理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DDD1634" w14:textId="3DF9856C"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83" w:history="1">
            <w:r w:rsidRPr="00503E20">
              <w:rPr>
                <w:rStyle w:val="af0"/>
                <w:rFonts w:hint="eastAsia"/>
                <w:noProof/>
              </w:rPr>
              <w:t xml:space="preserve">3.3.2 </w:t>
            </w:r>
            <w:r w:rsidRPr="00503E20">
              <w:rPr>
                <w:rStyle w:val="af0"/>
                <w:rFonts w:hint="eastAsia"/>
                <w:noProof/>
              </w:rPr>
              <w:t>司法实践的趋势与启示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5A9CBA4" w14:textId="5D463102"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84" w:history="1">
            <w:r w:rsidRPr="00503E20">
              <w:rPr>
                <w:rStyle w:val="af0"/>
                <w:rFonts w:hint="eastAsia"/>
                <w:noProof/>
              </w:rPr>
              <w:t xml:space="preserve">3.3.3 </w:t>
            </w:r>
            <w:r w:rsidRPr="00503E20">
              <w:rPr>
                <w:rStyle w:val="af0"/>
                <w:rFonts w:hint="eastAsia"/>
                <w:noProof/>
              </w:rPr>
              <w:t>市场治理的规范意义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DF62B11" w14:textId="7F9D55EE" w:rsidR="002F66C6" w:rsidRDefault="002F66C6" w:rsidP="002F66C6">
          <w:pPr>
            <w:pStyle w:val="TOC1"/>
            <w:spacing w:line="420" w:lineRule="atLeast"/>
            <w:rPr>
              <w:rFonts w:asciiTheme="minorHAnsi" w:eastAsiaTheme="minorEastAsia" w:hAnsiTheme="minorHAnsi" w:cstheme="minorBidi" w:hint="eastAsia"/>
              <w:noProof/>
              <w:sz w:val="22"/>
              <w:szCs w:val="24"/>
              <w14:ligatures w14:val="standardContextual"/>
            </w:rPr>
          </w:pPr>
          <w:hyperlink w:anchor="_Toc194005785" w:history="1">
            <w:r w:rsidRPr="00503E20">
              <w:rPr>
                <w:rStyle w:val="af0"/>
                <w:rFonts w:hint="eastAsia"/>
                <w:noProof/>
              </w:rPr>
              <w:t>四、</w:t>
            </w:r>
            <w:r w:rsidRPr="00503E20">
              <w:rPr>
                <w:rStyle w:val="af0"/>
                <w:rFonts w:hint="eastAsia"/>
                <w:noProof/>
              </w:rPr>
              <w:t xml:space="preserve"> </w:t>
            </w:r>
            <w:r w:rsidRPr="00503E20">
              <w:rPr>
                <w:rStyle w:val="af0"/>
                <w:rFonts w:hint="eastAsia"/>
                <w:noProof/>
              </w:rPr>
              <w:t>劳资纠纷案例解析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7DF18E0" w14:textId="7B220173" w:rsidR="002F66C6" w:rsidRDefault="002F66C6" w:rsidP="002F66C6">
          <w:pPr>
            <w:pStyle w:val="TOC2"/>
            <w:tabs>
              <w:tab w:val="right" w:leader="dot" w:pos="8296"/>
            </w:tabs>
            <w:spacing w:line="420" w:lineRule="atLeast"/>
            <w:ind w:left="480"/>
            <w:rPr>
              <w:rFonts w:asciiTheme="minorHAnsi" w:eastAsiaTheme="minorEastAsia" w:hAnsiTheme="minorHAnsi" w:cstheme="minorBidi" w:hint="eastAsia"/>
              <w:noProof/>
              <w:sz w:val="22"/>
              <w:szCs w:val="24"/>
              <w14:ligatures w14:val="standardContextual"/>
            </w:rPr>
          </w:pPr>
          <w:hyperlink w:anchor="_Toc194005786" w:history="1">
            <w:r w:rsidRPr="00503E20">
              <w:rPr>
                <w:rStyle w:val="af0"/>
                <w:rFonts w:hint="eastAsia"/>
                <w:noProof/>
              </w:rPr>
              <w:t xml:space="preserve">4.1 </w:t>
            </w:r>
            <w:r w:rsidRPr="00503E20">
              <w:rPr>
                <w:rStyle w:val="af0"/>
                <w:rFonts w:hint="eastAsia"/>
                <w:noProof/>
              </w:rPr>
              <w:t>案例背景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4C9F9DA" w14:textId="775D1E00" w:rsidR="002F66C6" w:rsidRDefault="002F66C6" w:rsidP="002F66C6">
          <w:pPr>
            <w:pStyle w:val="TOC2"/>
            <w:tabs>
              <w:tab w:val="right" w:leader="dot" w:pos="8296"/>
            </w:tabs>
            <w:spacing w:line="420" w:lineRule="atLeast"/>
            <w:ind w:left="480"/>
            <w:rPr>
              <w:rFonts w:asciiTheme="minorHAnsi" w:eastAsiaTheme="minorEastAsia" w:hAnsiTheme="minorHAnsi" w:cstheme="minorBidi" w:hint="eastAsia"/>
              <w:noProof/>
              <w:sz w:val="22"/>
              <w:szCs w:val="24"/>
              <w14:ligatures w14:val="standardContextual"/>
            </w:rPr>
          </w:pPr>
          <w:hyperlink w:anchor="_Toc194005787" w:history="1">
            <w:r w:rsidRPr="00503E20">
              <w:rPr>
                <w:rStyle w:val="af0"/>
                <w:rFonts w:hint="eastAsia"/>
                <w:noProof/>
              </w:rPr>
              <w:t xml:space="preserve">4.2 </w:t>
            </w:r>
            <w:r w:rsidRPr="00503E20">
              <w:rPr>
                <w:rStyle w:val="af0"/>
                <w:rFonts w:hint="eastAsia"/>
                <w:noProof/>
              </w:rPr>
              <w:t>原因分析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3830E0B" w14:textId="374F3C5C" w:rsidR="002F66C6" w:rsidRDefault="002F66C6" w:rsidP="002F66C6">
          <w:pPr>
            <w:pStyle w:val="TOC2"/>
            <w:tabs>
              <w:tab w:val="right" w:leader="dot" w:pos="8296"/>
            </w:tabs>
            <w:spacing w:line="420" w:lineRule="atLeast"/>
            <w:ind w:left="480"/>
            <w:rPr>
              <w:rFonts w:asciiTheme="minorHAnsi" w:eastAsiaTheme="minorEastAsia" w:hAnsiTheme="minorHAnsi" w:cstheme="minorBidi" w:hint="eastAsia"/>
              <w:noProof/>
              <w:sz w:val="22"/>
              <w:szCs w:val="24"/>
              <w14:ligatures w14:val="standardContextual"/>
            </w:rPr>
          </w:pPr>
          <w:hyperlink w:anchor="_Toc194005788" w:history="1">
            <w:r w:rsidRPr="00503E20">
              <w:rPr>
                <w:rStyle w:val="af0"/>
                <w:rFonts w:hint="eastAsia"/>
                <w:noProof/>
              </w:rPr>
              <w:t xml:space="preserve">4.3 </w:t>
            </w:r>
            <w:r w:rsidRPr="00503E20">
              <w:rPr>
                <w:rStyle w:val="af0"/>
                <w:rFonts w:hint="eastAsia"/>
                <w:noProof/>
              </w:rPr>
              <w:t>反思与警示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5BE7A69" w14:textId="152DF4E8"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89" w:history="1">
            <w:r w:rsidRPr="00503E20">
              <w:rPr>
                <w:rStyle w:val="af0"/>
                <w:rFonts w:hint="eastAsia"/>
                <w:noProof/>
              </w:rPr>
              <w:t xml:space="preserve">4.3.1 </w:t>
            </w:r>
            <w:r w:rsidRPr="00503E20">
              <w:rPr>
                <w:rStyle w:val="af0"/>
                <w:rFonts w:hint="eastAsia"/>
                <w:noProof/>
              </w:rPr>
              <w:t>企业层面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76AF3C0" w14:textId="23F6D45F"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90" w:history="1">
            <w:r w:rsidRPr="00503E20">
              <w:rPr>
                <w:rStyle w:val="af0"/>
                <w:rFonts w:hint="eastAsia"/>
                <w:noProof/>
              </w:rPr>
              <w:t xml:space="preserve">4.3.2 </w:t>
            </w:r>
            <w:r w:rsidRPr="00503E20">
              <w:rPr>
                <w:rStyle w:val="af0"/>
                <w:rFonts w:hint="eastAsia"/>
                <w:noProof/>
              </w:rPr>
              <w:t>监管部门层面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D15CBEB" w14:textId="1932E6A6"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91" w:history="1">
            <w:r w:rsidRPr="00503E20">
              <w:rPr>
                <w:rStyle w:val="af0"/>
                <w:rFonts w:hint="eastAsia"/>
                <w:noProof/>
              </w:rPr>
              <w:t xml:space="preserve">4.3.3 </w:t>
            </w:r>
            <w:r w:rsidRPr="00503E20">
              <w:rPr>
                <w:rStyle w:val="af0"/>
                <w:rFonts w:hint="eastAsia"/>
                <w:noProof/>
              </w:rPr>
              <w:t>社会层面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83CAE91" w14:textId="06EB5358" w:rsidR="002F66C6" w:rsidRDefault="002F66C6" w:rsidP="002F66C6">
          <w:pPr>
            <w:pStyle w:val="TOC1"/>
            <w:spacing w:line="420" w:lineRule="atLeast"/>
            <w:rPr>
              <w:rFonts w:asciiTheme="minorHAnsi" w:eastAsiaTheme="minorEastAsia" w:hAnsiTheme="minorHAnsi" w:cstheme="minorBidi" w:hint="eastAsia"/>
              <w:noProof/>
              <w:sz w:val="22"/>
              <w:szCs w:val="24"/>
              <w14:ligatures w14:val="standardContextual"/>
            </w:rPr>
          </w:pPr>
          <w:hyperlink w:anchor="_Toc194005792" w:history="1">
            <w:r w:rsidRPr="00503E20">
              <w:rPr>
                <w:rStyle w:val="af0"/>
                <w:rFonts w:hint="eastAsia"/>
                <w:noProof/>
              </w:rPr>
              <w:t>五、</w:t>
            </w:r>
            <w:r w:rsidRPr="00503E20">
              <w:rPr>
                <w:rStyle w:val="af0"/>
                <w:rFonts w:hint="eastAsia"/>
                <w:noProof/>
              </w:rPr>
              <w:t xml:space="preserve"> </w:t>
            </w:r>
            <w:r w:rsidRPr="00503E20">
              <w:rPr>
                <w:rStyle w:val="af0"/>
                <w:rFonts w:hint="eastAsia"/>
                <w:noProof/>
              </w:rPr>
              <w:t>高校学术诚信案例研讨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B01D35A" w14:textId="62231604" w:rsidR="002F66C6" w:rsidRDefault="002F66C6" w:rsidP="002F66C6">
          <w:pPr>
            <w:pStyle w:val="TOC2"/>
            <w:tabs>
              <w:tab w:val="right" w:leader="dot" w:pos="8296"/>
            </w:tabs>
            <w:spacing w:line="420" w:lineRule="atLeast"/>
            <w:ind w:left="480"/>
            <w:rPr>
              <w:rFonts w:asciiTheme="minorHAnsi" w:eastAsiaTheme="minorEastAsia" w:hAnsiTheme="minorHAnsi" w:cstheme="minorBidi" w:hint="eastAsia"/>
              <w:noProof/>
              <w:sz w:val="22"/>
              <w:szCs w:val="24"/>
              <w14:ligatures w14:val="standardContextual"/>
            </w:rPr>
          </w:pPr>
          <w:hyperlink w:anchor="_Toc194005793" w:history="1">
            <w:r w:rsidRPr="00503E20">
              <w:rPr>
                <w:rStyle w:val="af0"/>
                <w:rFonts w:hint="eastAsia"/>
                <w:noProof/>
              </w:rPr>
              <w:t xml:space="preserve">5.1 </w:t>
            </w:r>
            <w:r w:rsidRPr="00503E20">
              <w:rPr>
                <w:rStyle w:val="af0"/>
                <w:rFonts w:hint="eastAsia"/>
                <w:noProof/>
              </w:rPr>
              <w:t>案例背景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0162C5E" w14:textId="510A2B8D" w:rsidR="002F66C6" w:rsidRDefault="002F66C6" w:rsidP="002F66C6">
          <w:pPr>
            <w:pStyle w:val="TOC2"/>
            <w:tabs>
              <w:tab w:val="right" w:leader="dot" w:pos="8296"/>
            </w:tabs>
            <w:spacing w:line="420" w:lineRule="atLeast"/>
            <w:ind w:left="480"/>
            <w:rPr>
              <w:rFonts w:asciiTheme="minorHAnsi" w:eastAsiaTheme="minorEastAsia" w:hAnsiTheme="minorHAnsi" w:cstheme="minorBidi" w:hint="eastAsia"/>
              <w:noProof/>
              <w:sz w:val="22"/>
              <w:szCs w:val="24"/>
              <w14:ligatures w14:val="standardContextual"/>
            </w:rPr>
          </w:pPr>
          <w:hyperlink w:anchor="_Toc194005794" w:history="1">
            <w:r w:rsidRPr="00503E20">
              <w:rPr>
                <w:rStyle w:val="af0"/>
                <w:rFonts w:hint="eastAsia"/>
                <w:noProof/>
              </w:rPr>
              <w:t xml:space="preserve">5.2 </w:t>
            </w:r>
            <w:r w:rsidRPr="00503E20">
              <w:rPr>
                <w:rStyle w:val="af0"/>
                <w:rFonts w:hint="eastAsia"/>
                <w:noProof/>
              </w:rPr>
              <w:t>原因分析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DB0D19D" w14:textId="385035E7"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95" w:history="1">
            <w:r w:rsidRPr="00503E20">
              <w:rPr>
                <w:rStyle w:val="af0"/>
                <w:rFonts w:hint="eastAsia"/>
                <w:noProof/>
              </w:rPr>
              <w:t xml:space="preserve">5.2.1 </w:t>
            </w:r>
            <w:r w:rsidRPr="00503E20">
              <w:rPr>
                <w:rStyle w:val="af0"/>
                <w:rFonts w:hint="eastAsia"/>
                <w:noProof/>
              </w:rPr>
              <w:t>学生主观因素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366481B" w14:textId="7C27AA72"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96" w:history="1">
            <w:r w:rsidRPr="00503E20">
              <w:rPr>
                <w:rStyle w:val="af0"/>
                <w:rFonts w:hint="eastAsia"/>
                <w:noProof/>
              </w:rPr>
              <w:t xml:space="preserve">5.2.2 </w:t>
            </w:r>
            <w:r w:rsidRPr="00503E20">
              <w:rPr>
                <w:rStyle w:val="af0"/>
                <w:rFonts w:hint="eastAsia"/>
                <w:noProof/>
              </w:rPr>
              <w:t>外部环境影响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5E90601" w14:textId="02A63EE1"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97" w:history="1">
            <w:r w:rsidRPr="00503E20">
              <w:rPr>
                <w:rStyle w:val="af0"/>
                <w:rFonts w:hint="eastAsia"/>
                <w:noProof/>
              </w:rPr>
              <w:t xml:space="preserve">5.2.3 </w:t>
            </w:r>
            <w:r w:rsidRPr="00503E20">
              <w:rPr>
                <w:rStyle w:val="af0"/>
                <w:rFonts w:hint="eastAsia"/>
                <w:noProof/>
              </w:rPr>
              <w:t>监管机制不足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798382C" w14:textId="6F4651FE" w:rsidR="002F66C6" w:rsidRDefault="002F66C6" w:rsidP="002F66C6">
          <w:pPr>
            <w:pStyle w:val="TOC2"/>
            <w:tabs>
              <w:tab w:val="right" w:leader="dot" w:pos="8296"/>
            </w:tabs>
            <w:spacing w:line="420" w:lineRule="atLeast"/>
            <w:ind w:left="480"/>
            <w:rPr>
              <w:rFonts w:asciiTheme="minorHAnsi" w:eastAsiaTheme="minorEastAsia" w:hAnsiTheme="minorHAnsi" w:cstheme="minorBidi" w:hint="eastAsia"/>
              <w:noProof/>
              <w:sz w:val="22"/>
              <w:szCs w:val="24"/>
              <w14:ligatures w14:val="standardContextual"/>
            </w:rPr>
          </w:pPr>
          <w:hyperlink w:anchor="_Toc194005798" w:history="1">
            <w:r w:rsidRPr="00503E20">
              <w:rPr>
                <w:rStyle w:val="af0"/>
                <w:rFonts w:hint="eastAsia"/>
                <w:noProof/>
              </w:rPr>
              <w:t xml:space="preserve">5.3 </w:t>
            </w:r>
            <w:r w:rsidRPr="00503E20">
              <w:rPr>
                <w:rStyle w:val="af0"/>
                <w:rFonts w:hint="eastAsia"/>
                <w:noProof/>
              </w:rPr>
              <w:t>反思与警示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5AFA15D" w14:textId="441AB097"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799" w:history="1">
            <w:r w:rsidRPr="00503E20">
              <w:rPr>
                <w:rStyle w:val="af0"/>
                <w:rFonts w:hint="eastAsia"/>
                <w:noProof/>
              </w:rPr>
              <w:t xml:space="preserve">5.3.1 </w:t>
            </w:r>
            <w:r w:rsidRPr="00503E20">
              <w:rPr>
                <w:rStyle w:val="af0"/>
                <w:rFonts w:hint="eastAsia"/>
                <w:noProof/>
              </w:rPr>
              <w:t>对学生的反思与警示：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_Toc194005799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DCE3B28" w14:textId="37F4015F"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800" w:history="1">
            <w:r w:rsidRPr="00503E20">
              <w:rPr>
                <w:rStyle w:val="af0"/>
                <w:rFonts w:hint="eastAsia"/>
                <w:noProof/>
              </w:rPr>
              <w:t xml:space="preserve">5.3.2 </w:t>
            </w:r>
            <w:r w:rsidRPr="00503E20">
              <w:rPr>
                <w:rStyle w:val="af0"/>
                <w:rFonts w:hint="eastAsia"/>
                <w:noProof/>
              </w:rPr>
              <w:t>对高校的反思与警示：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_Toc194005800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BC06D95" w14:textId="4AA6DF74" w:rsidR="002F66C6" w:rsidRDefault="002F66C6" w:rsidP="002F66C6">
          <w:pPr>
            <w:pStyle w:val="TOC3"/>
            <w:spacing w:line="420" w:lineRule="atLeast"/>
            <w:ind w:left="960"/>
            <w:rPr>
              <w:rFonts w:asciiTheme="minorHAnsi" w:eastAsiaTheme="minorEastAsia" w:hAnsiTheme="minorHAnsi" w:cstheme="minorBidi" w:hint="eastAsia"/>
              <w:bCs w:val="0"/>
              <w:noProof/>
              <w:sz w:val="22"/>
              <w:szCs w:val="24"/>
              <w14:ligatures w14:val="standardContextual"/>
            </w:rPr>
          </w:pPr>
          <w:hyperlink w:anchor="_Toc194005801" w:history="1">
            <w:r w:rsidRPr="00503E20">
              <w:rPr>
                <w:rStyle w:val="af0"/>
                <w:rFonts w:hint="eastAsia"/>
                <w:noProof/>
              </w:rPr>
              <w:t xml:space="preserve">5.3.3 </w:t>
            </w:r>
            <w:r w:rsidRPr="00503E20">
              <w:rPr>
                <w:rStyle w:val="af0"/>
                <w:rFonts w:hint="eastAsia"/>
                <w:noProof/>
              </w:rPr>
              <w:t>对社会的反思与警示：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_Toc194005801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038D74D" w14:textId="24B45C8B" w:rsidR="002F66C6" w:rsidRDefault="002F66C6" w:rsidP="002F66C6">
          <w:pPr>
            <w:pStyle w:val="TOC1"/>
            <w:spacing w:line="420" w:lineRule="atLeast"/>
            <w:rPr>
              <w:rFonts w:asciiTheme="minorHAnsi" w:eastAsiaTheme="minorEastAsia" w:hAnsiTheme="minorHAnsi" w:cstheme="minorBidi" w:hint="eastAsia"/>
              <w:noProof/>
              <w:sz w:val="22"/>
              <w:szCs w:val="24"/>
              <w14:ligatures w14:val="standardContextual"/>
            </w:rPr>
          </w:pPr>
          <w:hyperlink w:anchor="_Toc194005802" w:history="1">
            <w:r w:rsidRPr="00503E20">
              <w:rPr>
                <w:rStyle w:val="af0"/>
                <w:rFonts w:hint="eastAsia"/>
                <w:noProof/>
              </w:rPr>
              <w:t>六、</w:t>
            </w:r>
            <w:r w:rsidRPr="00503E20">
              <w:rPr>
                <w:rStyle w:val="af0"/>
                <w:rFonts w:hint="eastAsia"/>
                <w:noProof/>
              </w:rPr>
              <w:t xml:space="preserve"> </w:t>
            </w:r>
            <w:r w:rsidRPr="00503E20">
              <w:rPr>
                <w:rStyle w:val="af0"/>
                <w:rFonts w:hint="eastAsia"/>
                <w:noProof/>
              </w:rPr>
              <w:t>反思与总结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_Toc194005802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32E0983" w14:textId="2FA88DA6" w:rsidR="002F66C6" w:rsidRDefault="002F66C6" w:rsidP="002F66C6">
          <w:pPr>
            <w:spacing w:line="420" w:lineRule="atLeast"/>
          </w:pPr>
          <w:r>
            <w:fldChar w:fldCharType="end"/>
          </w:r>
        </w:p>
      </w:sdtContent>
    </w:sdt>
    <w:p w14:paraId="6B1A9EE9" w14:textId="77777777" w:rsidR="004D0BEA" w:rsidRDefault="004D0BEA" w:rsidP="002F66C6">
      <w:pPr>
        <w:pStyle w:val="a"/>
        <w:numPr>
          <w:ilvl w:val="0"/>
          <w:numId w:val="0"/>
        </w:numPr>
        <w:spacing w:beforeLines="0" w:before="0"/>
        <w:ind w:left="442"/>
        <w:sectPr w:rsidR="004D0BEA">
          <w:footerReference w:type="default" r:id="rId9"/>
          <w:pgSz w:w="11906" w:h="16838"/>
          <w:pgMar w:top="1440" w:right="1800" w:bottom="1440" w:left="1800" w:header="851" w:footer="992" w:gutter="0"/>
          <w:pgNumType w:start="1"/>
          <w:cols w:space="425"/>
          <w:docGrid w:type="lines" w:linePitch="312"/>
        </w:sectPr>
      </w:pPr>
    </w:p>
    <w:p w14:paraId="774F4FDF" w14:textId="77777777" w:rsidR="004D0BEA" w:rsidRDefault="00000000">
      <w:pPr>
        <w:pStyle w:val="a"/>
        <w:spacing w:beforeLines="0" w:before="0"/>
      </w:pPr>
      <w:bookmarkStart w:id="6" w:name="_Toc194005773"/>
      <w:r>
        <w:rPr>
          <w:rFonts w:hint="eastAsia"/>
        </w:rPr>
        <w:lastRenderedPageBreak/>
        <w:t>引言</w:t>
      </w:r>
      <w:bookmarkEnd w:id="6"/>
    </w:p>
    <w:p w14:paraId="38B80856" w14:textId="77777777" w:rsidR="004D0BEA" w:rsidRDefault="00000000">
      <w:pPr>
        <w:pStyle w:val="11"/>
        <w:ind w:firstLine="480"/>
      </w:pPr>
      <w:r>
        <w:rPr>
          <w:rFonts w:hint="eastAsia"/>
        </w:rPr>
        <w:t>随着科技的迅猛发展，电子信息产业已成为国民经济的重要支柱，同时也面临着快速变化的市场环境和日益复杂的法律挑战。法律法规作为行业健康发展的基石，为电子信息产业提供了必要的规范和保障。与此同时，</w:t>
      </w:r>
      <w:r>
        <w:rPr>
          <w:rFonts w:hint="eastAsia"/>
          <w:b/>
          <w:bCs/>
        </w:rPr>
        <w:t>知识产权保护</w:t>
      </w:r>
      <w:r>
        <w:rPr>
          <w:rFonts w:hint="eastAsia"/>
        </w:rPr>
        <w:t>、</w:t>
      </w:r>
      <w:r>
        <w:rPr>
          <w:rFonts w:hint="eastAsia"/>
          <w:b/>
          <w:bCs/>
        </w:rPr>
        <w:t>劳资关系处理</w:t>
      </w:r>
      <w:r>
        <w:rPr>
          <w:rFonts w:hint="eastAsia"/>
        </w:rPr>
        <w:t>以及</w:t>
      </w:r>
      <w:r>
        <w:rPr>
          <w:rFonts w:hint="eastAsia"/>
          <w:b/>
          <w:bCs/>
        </w:rPr>
        <w:t>高校学术诚信</w:t>
      </w:r>
      <w:r>
        <w:rPr>
          <w:rFonts w:hint="eastAsia"/>
        </w:rPr>
        <w:t>等问题，也在现实中频繁出现，给企业与社会带来了诸多启示和警示。</w:t>
      </w:r>
    </w:p>
    <w:p w14:paraId="07249B7F" w14:textId="77777777" w:rsidR="004D0BEA" w:rsidRDefault="00000000">
      <w:pPr>
        <w:pStyle w:val="11"/>
        <w:ind w:firstLine="480"/>
      </w:pPr>
      <w:r>
        <w:rPr>
          <w:rFonts w:hint="eastAsia"/>
        </w:rPr>
        <w:t>本报告旨在系统整理和分析电子信息产业相关的法律法规清单，通过对知识产权案例、劳动法劳资纠纷案例以及高校学术诚信案例的深入研究，探讨各类案例中所反映出的</w:t>
      </w:r>
      <w:r>
        <w:rPr>
          <w:rFonts w:hint="eastAsia"/>
          <w:b/>
          <w:bCs/>
        </w:rPr>
        <w:t>法律风险</w:t>
      </w:r>
      <w:r>
        <w:rPr>
          <w:rFonts w:hint="eastAsia"/>
        </w:rPr>
        <w:t>、</w:t>
      </w:r>
      <w:r>
        <w:rPr>
          <w:rFonts w:hint="eastAsia"/>
          <w:b/>
          <w:bCs/>
        </w:rPr>
        <w:t>原因</w:t>
      </w:r>
      <w:r>
        <w:rPr>
          <w:rFonts w:hint="eastAsia"/>
        </w:rPr>
        <w:t>和</w:t>
      </w:r>
      <w:r>
        <w:rPr>
          <w:rFonts w:hint="eastAsia"/>
          <w:b/>
          <w:bCs/>
        </w:rPr>
        <w:t>现实警示</w:t>
      </w:r>
      <w:r>
        <w:rPr>
          <w:rFonts w:hint="eastAsia"/>
        </w:rPr>
        <w:t>。通过对案例的详细记录和剖析，力求揭示在工程实践中法律法规的实际应用情况，为行业内企业和管理者提供参考依据，同时为政策制定者和学术界提供实践经验与改进建议。</w:t>
      </w:r>
    </w:p>
    <w:p w14:paraId="226DF8DB" w14:textId="77777777" w:rsidR="004D0BEA" w:rsidRDefault="00000000">
      <w:pPr>
        <w:pStyle w:val="11"/>
        <w:ind w:firstLine="480"/>
      </w:pPr>
      <w:r>
        <w:rPr>
          <w:rFonts w:hint="eastAsia"/>
        </w:rPr>
        <w:t>此次研讨不仅关注法律文本的条文规定，更注重对实际案例中问题发生的根源及其影响进行多角度分析，意在构建一幅清晰、全面的电子信息产业法律法规与实践应用图景，从而推动产业持续健康发展</w:t>
      </w:r>
      <w:r>
        <w:t>。</w:t>
      </w:r>
    </w:p>
    <w:p w14:paraId="6FF0B95B" w14:textId="77777777" w:rsidR="004D0BEA" w:rsidRDefault="00000000">
      <w:pPr>
        <w:pStyle w:val="a"/>
        <w:spacing w:before="312"/>
      </w:pPr>
      <w:bookmarkStart w:id="7" w:name="_Toc194005774"/>
      <w:r>
        <w:t>电子信息产业法律法规清单</w:t>
      </w:r>
      <w:bookmarkEnd w:id="7"/>
    </w:p>
    <w:p w14:paraId="0103C30F" w14:textId="77777777" w:rsidR="004D0BEA" w:rsidRDefault="00000000" w:rsidP="002F66C6">
      <w:pPr>
        <w:pStyle w:val="11"/>
        <w:ind w:firstLineChars="0" w:firstLine="0"/>
        <w:rPr>
          <w:b/>
          <w:bCs/>
        </w:rPr>
      </w:pPr>
      <w:r>
        <w:rPr>
          <w:rFonts w:hint="eastAsia"/>
          <w:b/>
          <w:bCs/>
        </w:rPr>
        <w:t>（一）、《中华人民共和国网络安全法》</w:t>
      </w:r>
      <w:bookmarkStart w:id="8" w:name="_Hlk194005466"/>
    </w:p>
    <w:p w14:paraId="085ED89D" w14:textId="77777777" w:rsidR="004D0BEA" w:rsidRDefault="00000000">
      <w:pPr>
        <w:pStyle w:val="11"/>
        <w:ind w:firstLine="482"/>
      </w:pPr>
      <w:r>
        <w:rPr>
          <w:rFonts w:hint="eastAsia"/>
          <w:b/>
          <w:bCs/>
        </w:rPr>
        <w:t>主要内容：</w:t>
      </w:r>
      <w:r>
        <w:rPr>
          <w:rFonts w:hint="eastAsia"/>
        </w:rPr>
        <w:t>规定了网络运行状态的监测和记录技术措施，保障网络免受干扰、破坏或者未经授权的访问。任何个人和组织不得窃取或者以其他非法方式获取个人信息，不得非法出售或者非法向他人提供个人信息。明确了网络产品和服务提供者的安全义务，以及关键信息基础设施的运行状态的监测和记录技术措施。</w:t>
      </w:r>
    </w:p>
    <w:p w14:paraId="39A8C16C" w14:textId="77777777" w:rsidR="004D0BEA" w:rsidRDefault="00000000">
      <w:pPr>
        <w:pStyle w:val="11"/>
        <w:ind w:firstLine="482"/>
      </w:pPr>
      <w:r>
        <w:rPr>
          <w:rFonts w:hint="eastAsia"/>
          <w:b/>
          <w:bCs/>
        </w:rPr>
        <w:t>适用范围：</w:t>
      </w:r>
      <w:r>
        <w:rPr>
          <w:rFonts w:hint="eastAsia"/>
        </w:rPr>
        <w:t>适用于在中华人民共和国境内建设、运营、维护和使用网络，以及网络安全的监督管理。</w:t>
      </w:r>
    </w:p>
    <w:p w14:paraId="1A112F08" w14:textId="77777777" w:rsidR="004D0BEA" w:rsidRDefault="00000000">
      <w:pPr>
        <w:pStyle w:val="11"/>
        <w:ind w:firstLine="482"/>
      </w:pPr>
      <w:r>
        <w:rPr>
          <w:rFonts w:hint="eastAsia"/>
          <w:b/>
          <w:bCs/>
        </w:rPr>
        <w:t>实施时间：</w:t>
      </w:r>
      <w:r>
        <w:rPr>
          <w:rFonts w:hint="eastAsia"/>
        </w:rPr>
        <w:t>2017</w:t>
      </w:r>
      <w:r>
        <w:rPr>
          <w:rFonts w:hint="eastAsia"/>
        </w:rPr>
        <w:t>年</w:t>
      </w:r>
      <w:r>
        <w:rPr>
          <w:rFonts w:hint="eastAsia"/>
        </w:rPr>
        <w:t>6</w:t>
      </w:r>
      <w:r>
        <w:rPr>
          <w:rFonts w:hint="eastAsia"/>
        </w:rPr>
        <w:t>月</w:t>
      </w:r>
      <w:r>
        <w:rPr>
          <w:rFonts w:hint="eastAsia"/>
        </w:rPr>
        <w:t>1</w:t>
      </w:r>
      <w:r>
        <w:rPr>
          <w:rFonts w:hint="eastAsia"/>
        </w:rPr>
        <w:t>日。</w:t>
      </w:r>
    </w:p>
    <w:bookmarkEnd w:id="8"/>
    <w:p w14:paraId="2045F929" w14:textId="77777777" w:rsidR="004D0BEA" w:rsidRDefault="00000000" w:rsidP="002F66C6">
      <w:pPr>
        <w:pStyle w:val="11"/>
        <w:ind w:firstLineChars="0" w:firstLine="0"/>
        <w:rPr>
          <w:b/>
          <w:bCs/>
        </w:rPr>
      </w:pPr>
      <w:r>
        <w:rPr>
          <w:rFonts w:hint="eastAsia"/>
          <w:b/>
          <w:bCs/>
        </w:rPr>
        <w:t>（二）、《中华人民共和国数据安全法》</w:t>
      </w:r>
    </w:p>
    <w:p w14:paraId="377456AA" w14:textId="77777777" w:rsidR="004D0BEA" w:rsidRDefault="00000000">
      <w:pPr>
        <w:pStyle w:val="11"/>
        <w:ind w:firstLine="482"/>
      </w:pPr>
      <w:r>
        <w:rPr>
          <w:rFonts w:hint="eastAsia"/>
          <w:b/>
          <w:bCs/>
        </w:rPr>
        <w:t>主要内容：</w:t>
      </w:r>
      <w:r>
        <w:rPr>
          <w:rFonts w:hint="eastAsia"/>
        </w:rPr>
        <w:t>国家建立数据分类分级保护制度，加强对重要数据的保护。开展数据处理活动，应当依照法律、法规的规定，建立健全全流程数据安全管理制度，组织开展数据安全教育培训，采取相应的技术措施和其他必要措施，保障数据安全。规定了数据处理者的安全义务，以及国家数据安全工作的统筹协调机制。</w:t>
      </w:r>
    </w:p>
    <w:p w14:paraId="052D7727" w14:textId="77777777" w:rsidR="004D0BEA" w:rsidRDefault="00000000">
      <w:pPr>
        <w:pStyle w:val="11"/>
        <w:ind w:firstLine="482"/>
      </w:pPr>
      <w:r>
        <w:rPr>
          <w:rFonts w:hint="eastAsia"/>
          <w:b/>
          <w:bCs/>
        </w:rPr>
        <w:lastRenderedPageBreak/>
        <w:t>适用范围：</w:t>
      </w:r>
      <w:r>
        <w:rPr>
          <w:rFonts w:hint="eastAsia"/>
        </w:rPr>
        <w:t>在中华人民共和国境内开展数据处理活动及其安全监管。</w:t>
      </w:r>
      <w:r>
        <w:rPr>
          <w:rFonts w:hint="eastAsia"/>
        </w:rPr>
        <w:t xml:space="preserve"> </w:t>
      </w:r>
    </w:p>
    <w:p w14:paraId="3C40B9E8" w14:textId="77777777" w:rsidR="004D0BEA" w:rsidRDefault="00000000">
      <w:pPr>
        <w:pStyle w:val="11"/>
        <w:ind w:firstLine="482"/>
      </w:pPr>
      <w:r>
        <w:rPr>
          <w:rFonts w:hint="eastAsia"/>
          <w:b/>
          <w:bCs/>
        </w:rPr>
        <w:t>实施时间：</w:t>
      </w:r>
      <w:r>
        <w:rPr>
          <w:rFonts w:hint="eastAsia"/>
        </w:rPr>
        <w:t>2021</w:t>
      </w:r>
      <w:r>
        <w:rPr>
          <w:rFonts w:hint="eastAsia"/>
        </w:rPr>
        <w:t>年</w:t>
      </w:r>
      <w:r>
        <w:rPr>
          <w:rFonts w:hint="eastAsia"/>
        </w:rPr>
        <w:t>9</w:t>
      </w:r>
      <w:r>
        <w:rPr>
          <w:rFonts w:hint="eastAsia"/>
        </w:rPr>
        <w:t>月</w:t>
      </w:r>
      <w:r>
        <w:rPr>
          <w:rFonts w:hint="eastAsia"/>
        </w:rPr>
        <w:t>1</w:t>
      </w:r>
      <w:r>
        <w:rPr>
          <w:rFonts w:hint="eastAsia"/>
        </w:rPr>
        <w:t>日。</w:t>
      </w:r>
    </w:p>
    <w:p w14:paraId="1A28CF9A" w14:textId="77777777" w:rsidR="004D0BEA" w:rsidRDefault="00000000" w:rsidP="002F66C6">
      <w:pPr>
        <w:pStyle w:val="11"/>
        <w:ind w:firstLineChars="0" w:firstLine="0"/>
        <w:rPr>
          <w:b/>
          <w:bCs/>
        </w:rPr>
      </w:pPr>
      <w:r>
        <w:rPr>
          <w:rFonts w:hint="eastAsia"/>
          <w:b/>
          <w:bCs/>
        </w:rPr>
        <w:t>（三）、《中华人民共和国电子签名法》</w:t>
      </w:r>
    </w:p>
    <w:p w14:paraId="2AB10403" w14:textId="77777777" w:rsidR="004D0BEA" w:rsidRDefault="00000000">
      <w:pPr>
        <w:pStyle w:val="11"/>
        <w:ind w:firstLine="482"/>
      </w:pPr>
      <w:r>
        <w:rPr>
          <w:rFonts w:hint="eastAsia"/>
          <w:b/>
          <w:bCs/>
        </w:rPr>
        <w:t>主要内容：</w:t>
      </w:r>
      <w:r>
        <w:rPr>
          <w:rFonts w:hint="eastAsia"/>
        </w:rPr>
        <w:t>可靠的电子签名与手写签名或者盖章具有同等的法律效力。民事活动中的合同或者其他文件、单证等文书，当事人可以约定使用或者不使用电子签名、数据电文。明确了电子认证服务的基本要求，以及电子签名、数据电文的法律效力。</w:t>
      </w:r>
    </w:p>
    <w:p w14:paraId="63F3C25A" w14:textId="77777777" w:rsidR="004D0BEA" w:rsidRDefault="00000000">
      <w:pPr>
        <w:pStyle w:val="11"/>
        <w:ind w:firstLine="482"/>
      </w:pPr>
      <w:r>
        <w:rPr>
          <w:rFonts w:hint="eastAsia"/>
          <w:b/>
          <w:bCs/>
        </w:rPr>
        <w:t>适用范围：</w:t>
      </w:r>
      <w:r>
        <w:rPr>
          <w:rFonts w:hint="eastAsia"/>
        </w:rPr>
        <w:t>涉及民事活动中的合同、文件、单证等文书的电子签名、数据电文的使用。</w:t>
      </w:r>
    </w:p>
    <w:p w14:paraId="1973D9AE" w14:textId="77777777" w:rsidR="004D0BEA" w:rsidRDefault="00000000">
      <w:pPr>
        <w:pStyle w:val="11"/>
        <w:ind w:firstLine="482"/>
      </w:pPr>
      <w:r>
        <w:rPr>
          <w:rFonts w:hint="eastAsia"/>
          <w:b/>
          <w:bCs/>
        </w:rPr>
        <w:t>实施时间：</w:t>
      </w:r>
      <w:r>
        <w:rPr>
          <w:rFonts w:hint="eastAsia"/>
        </w:rPr>
        <w:t>2005</w:t>
      </w:r>
      <w:r>
        <w:rPr>
          <w:rFonts w:hint="eastAsia"/>
        </w:rPr>
        <w:t>年</w:t>
      </w:r>
      <w:r>
        <w:rPr>
          <w:rFonts w:hint="eastAsia"/>
        </w:rPr>
        <w:t>4</w:t>
      </w:r>
      <w:r>
        <w:rPr>
          <w:rFonts w:hint="eastAsia"/>
        </w:rPr>
        <w:t>月</w:t>
      </w:r>
      <w:r>
        <w:rPr>
          <w:rFonts w:hint="eastAsia"/>
        </w:rPr>
        <w:t>1</w:t>
      </w:r>
      <w:r>
        <w:rPr>
          <w:rFonts w:hint="eastAsia"/>
        </w:rPr>
        <w:t>日。</w:t>
      </w:r>
    </w:p>
    <w:p w14:paraId="0C7299AB" w14:textId="77777777" w:rsidR="004D0BEA" w:rsidRDefault="00000000" w:rsidP="002F66C6">
      <w:pPr>
        <w:pStyle w:val="11"/>
        <w:ind w:firstLineChars="0" w:firstLine="0"/>
        <w:rPr>
          <w:b/>
          <w:bCs/>
        </w:rPr>
      </w:pPr>
      <w:r>
        <w:rPr>
          <w:rFonts w:hint="eastAsia"/>
          <w:b/>
          <w:bCs/>
        </w:rPr>
        <w:t>（四）、《电子信息产品污染控制管理办法》</w:t>
      </w:r>
    </w:p>
    <w:p w14:paraId="237DE41A" w14:textId="77777777" w:rsidR="004D0BEA" w:rsidRDefault="00000000">
      <w:pPr>
        <w:pStyle w:val="11"/>
        <w:ind w:firstLine="482"/>
      </w:pPr>
      <w:r>
        <w:rPr>
          <w:rFonts w:hint="eastAsia"/>
          <w:b/>
          <w:bCs/>
        </w:rPr>
        <w:t>主要内容：</w:t>
      </w:r>
      <w:r>
        <w:rPr>
          <w:rFonts w:hint="eastAsia"/>
        </w:rPr>
        <w:t>电子信息产品生产者应当对列入电子信息产品污染控制重点管理目录的电子信息产品标注环保使用期限。国家鼓励、支持电子信息产品污染控制和资源回收利用的科学研究、技术开发和国际合作。规定了电子信息产品生产者在污染控制方面的责任和义务。</w:t>
      </w:r>
      <w:r>
        <w:rPr>
          <w:rFonts w:hint="eastAsia"/>
        </w:rPr>
        <w:t xml:space="preserve"> </w:t>
      </w:r>
    </w:p>
    <w:p w14:paraId="2FA48F04" w14:textId="77777777" w:rsidR="004D0BEA" w:rsidRDefault="00000000">
      <w:pPr>
        <w:pStyle w:val="11"/>
        <w:ind w:firstLine="482"/>
      </w:pPr>
      <w:r>
        <w:rPr>
          <w:rFonts w:hint="eastAsia"/>
          <w:b/>
          <w:bCs/>
        </w:rPr>
        <w:t>适用范围：</w:t>
      </w:r>
      <w:r>
        <w:rPr>
          <w:rFonts w:hint="eastAsia"/>
        </w:rPr>
        <w:t>在中华人民共和国境内从事电子信息系统集成、软件开发、信息技术服务等活动。</w:t>
      </w:r>
    </w:p>
    <w:p w14:paraId="570F5090" w14:textId="77777777" w:rsidR="004D0BEA" w:rsidRDefault="00000000">
      <w:pPr>
        <w:pStyle w:val="11"/>
        <w:ind w:firstLine="482"/>
      </w:pPr>
      <w:r>
        <w:rPr>
          <w:rFonts w:hint="eastAsia"/>
          <w:b/>
          <w:bCs/>
        </w:rPr>
        <w:t>实施时间：</w:t>
      </w:r>
      <w:r>
        <w:rPr>
          <w:rFonts w:hint="eastAsia"/>
        </w:rPr>
        <w:t>2007</w:t>
      </w:r>
      <w:r>
        <w:rPr>
          <w:rFonts w:hint="eastAsia"/>
        </w:rPr>
        <w:t>年</w:t>
      </w:r>
      <w:r>
        <w:rPr>
          <w:rFonts w:hint="eastAsia"/>
        </w:rPr>
        <w:t>3</w:t>
      </w:r>
      <w:r>
        <w:rPr>
          <w:rFonts w:hint="eastAsia"/>
        </w:rPr>
        <w:t>月</w:t>
      </w:r>
      <w:r>
        <w:rPr>
          <w:rFonts w:hint="eastAsia"/>
        </w:rPr>
        <w:t>1</w:t>
      </w:r>
      <w:r>
        <w:rPr>
          <w:rFonts w:hint="eastAsia"/>
        </w:rPr>
        <w:t>日。</w:t>
      </w:r>
      <w:r>
        <w:rPr>
          <w:rFonts w:hint="eastAsia"/>
        </w:rPr>
        <w:t xml:space="preserve"> </w:t>
      </w:r>
    </w:p>
    <w:p w14:paraId="0192826D" w14:textId="77777777" w:rsidR="004D0BEA" w:rsidRDefault="00000000" w:rsidP="002F66C6">
      <w:pPr>
        <w:pStyle w:val="11"/>
        <w:ind w:firstLineChars="0" w:firstLine="0"/>
        <w:rPr>
          <w:b/>
          <w:bCs/>
        </w:rPr>
      </w:pPr>
      <w:r>
        <w:rPr>
          <w:rFonts w:hint="eastAsia"/>
          <w:b/>
          <w:bCs/>
        </w:rPr>
        <w:t>（五）、《电子认证服务管理办法》</w:t>
      </w:r>
    </w:p>
    <w:p w14:paraId="6CA24877" w14:textId="77777777" w:rsidR="004D0BEA" w:rsidRDefault="00000000">
      <w:pPr>
        <w:pStyle w:val="11"/>
        <w:ind w:firstLine="482"/>
      </w:pPr>
      <w:r>
        <w:rPr>
          <w:rFonts w:hint="eastAsia"/>
          <w:b/>
          <w:bCs/>
        </w:rPr>
        <w:t>主要内容：</w:t>
      </w:r>
      <w:r>
        <w:rPr>
          <w:rFonts w:hint="eastAsia"/>
        </w:rPr>
        <w:t>电子认证服务提供者应当按照国务院信息产业主管部门的规定在互联网上公布其名称、取得的电子认证资格等信息。未经许可，任何单位和个人不得从事电子认证服务。明确了电子认证服务的市场准入条件和监督管理要求。</w:t>
      </w:r>
    </w:p>
    <w:p w14:paraId="28C2F844" w14:textId="77777777" w:rsidR="004D0BEA" w:rsidRDefault="00000000">
      <w:pPr>
        <w:pStyle w:val="11"/>
        <w:ind w:firstLine="482"/>
      </w:pPr>
      <w:r>
        <w:rPr>
          <w:rFonts w:hint="eastAsia"/>
          <w:b/>
          <w:bCs/>
        </w:rPr>
        <w:t>适用范围：</w:t>
      </w:r>
      <w:r>
        <w:rPr>
          <w:rFonts w:hint="eastAsia"/>
        </w:rPr>
        <w:t>在中华人民共和国境内从事电子认证服务活动。</w:t>
      </w:r>
    </w:p>
    <w:p w14:paraId="5ABB1175" w14:textId="77777777" w:rsidR="004D0BEA" w:rsidRDefault="00000000">
      <w:pPr>
        <w:pStyle w:val="11"/>
        <w:ind w:firstLine="482"/>
      </w:pPr>
      <w:r>
        <w:rPr>
          <w:rFonts w:hint="eastAsia"/>
          <w:b/>
          <w:bCs/>
        </w:rPr>
        <w:t>实施时间：</w:t>
      </w:r>
      <w:r>
        <w:rPr>
          <w:rFonts w:hint="eastAsia"/>
        </w:rPr>
        <w:t>2005</w:t>
      </w:r>
      <w:r>
        <w:rPr>
          <w:rFonts w:hint="eastAsia"/>
        </w:rPr>
        <w:t>年</w:t>
      </w:r>
      <w:r>
        <w:rPr>
          <w:rFonts w:hint="eastAsia"/>
        </w:rPr>
        <w:t>4</w:t>
      </w:r>
      <w:r>
        <w:rPr>
          <w:rFonts w:hint="eastAsia"/>
        </w:rPr>
        <w:t>月</w:t>
      </w:r>
      <w:r>
        <w:rPr>
          <w:rFonts w:hint="eastAsia"/>
        </w:rPr>
        <w:t>1</w:t>
      </w:r>
      <w:r>
        <w:rPr>
          <w:rFonts w:hint="eastAsia"/>
        </w:rPr>
        <w:t>日。</w:t>
      </w:r>
    </w:p>
    <w:p w14:paraId="55999DA7" w14:textId="77777777" w:rsidR="004D0BEA" w:rsidRDefault="00000000" w:rsidP="002F66C6">
      <w:pPr>
        <w:pStyle w:val="11"/>
        <w:ind w:firstLineChars="0" w:firstLine="0"/>
        <w:rPr>
          <w:b/>
          <w:bCs/>
        </w:rPr>
      </w:pPr>
      <w:r>
        <w:rPr>
          <w:rFonts w:hint="eastAsia"/>
          <w:b/>
          <w:bCs/>
        </w:rPr>
        <w:t>（六）、《计算机软件保护条例》</w:t>
      </w:r>
      <w:r>
        <w:rPr>
          <w:rFonts w:hint="eastAsia"/>
          <w:b/>
          <w:bCs/>
        </w:rPr>
        <w:t xml:space="preserve"> </w:t>
      </w:r>
    </w:p>
    <w:p w14:paraId="0141FBF2" w14:textId="77777777" w:rsidR="004D0BEA" w:rsidRDefault="00000000">
      <w:pPr>
        <w:pStyle w:val="11"/>
        <w:ind w:firstLine="482"/>
      </w:pPr>
      <w:r>
        <w:rPr>
          <w:rFonts w:hint="eastAsia"/>
          <w:b/>
          <w:bCs/>
        </w:rPr>
        <w:t>主要内容：</w:t>
      </w:r>
      <w:r>
        <w:rPr>
          <w:rFonts w:hint="eastAsia"/>
        </w:rPr>
        <w:t>为了保护计算机软件著作权人的权益，调整计算机软件在开发、传播和使用中产生的利益关系，鼓励计算机软件的开发与应用，促进计算机应用事业的发展，制定本条例。明确了计算机软件著作权的归属、保护期限、合理使用等内容。</w:t>
      </w:r>
    </w:p>
    <w:p w14:paraId="5B6B1215" w14:textId="77777777" w:rsidR="004D0BEA" w:rsidRDefault="00000000">
      <w:pPr>
        <w:pStyle w:val="11"/>
        <w:ind w:firstLine="482"/>
      </w:pPr>
      <w:r>
        <w:rPr>
          <w:rFonts w:hint="eastAsia"/>
          <w:b/>
          <w:bCs/>
        </w:rPr>
        <w:t>适用范围：</w:t>
      </w:r>
      <w:r>
        <w:rPr>
          <w:rFonts w:hint="eastAsia"/>
        </w:rPr>
        <w:t>在中华人民共和国境内开发、使用和传播计算机软件的单位和个</w:t>
      </w:r>
      <w:r>
        <w:rPr>
          <w:rFonts w:hint="eastAsia"/>
        </w:rPr>
        <w:lastRenderedPageBreak/>
        <w:t>人。</w:t>
      </w:r>
    </w:p>
    <w:p w14:paraId="35A19F0D" w14:textId="77777777" w:rsidR="004D0BEA" w:rsidRDefault="00000000">
      <w:pPr>
        <w:pStyle w:val="11"/>
        <w:ind w:firstLine="482"/>
      </w:pPr>
      <w:r>
        <w:rPr>
          <w:rFonts w:hint="eastAsia"/>
          <w:b/>
          <w:bCs/>
        </w:rPr>
        <w:t>实施时间：</w:t>
      </w:r>
      <w:r>
        <w:rPr>
          <w:rFonts w:hint="eastAsia"/>
        </w:rPr>
        <w:t>2002</w:t>
      </w:r>
      <w:r>
        <w:rPr>
          <w:rFonts w:hint="eastAsia"/>
        </w:rPr>
        <w:t>年</w:t>
      </w:r>
      <w:r>
        <w:rPr>
          <w:rFonts w:hint="eastAsia"/>
        </w:rPr>
        <w:t>1</w:t>
      </w:r>
      <w:r>
        <w:rPr>
          <w:rFonts w:hint="eastAsia"/>
        </w:rPr>
        <w:t>月</w:t>
      </w:r>
      <w:r>
        <w:rPr>
          <w:rFonts w:hint="eastAsia"/>
        </w:rPr>
        <w:t>1</w:t>
      </w:r>
      <w:r>
        <w:rPr>
          <w:rFonts w:hint="eastAsia"/>
        </w:rPr>
        <w:t>日。</w:t>
      </w:r>
      <w:r>
        <w:rPr>
          <w:rFonts w:hint="eastAsia"/>
        </w:rPr>
        <w:t xml:space="preserve"> </w:t>
      </w:r>
    </w:p>
    <w:p w14:paraId="145F787D" w14:textId="77777777" w:rsidR="004D0BEA" w:rsidRDefault="00000000" w:rsidP="002F66C6">
      <w:pPr>
        <w:pStyle w:val="11"/>
        <w:ind w:firstLineChars="0" w:firstLine="0"/>
        <w:rPr>
          <w:b/>
          <w:bCs/>
        </w:rPr>
      </w:pPr>
      <w:r>
        <w:rPr>
          <w:rFonts w:hint="eastAsia"/>
          <w:b/>
          <w:bCs/>
        </w:rPr>
        <w:t>（七）、《集成电路布图设计保护条例》</w:t>
      </w:r>
      <w:r>
        <w:rPr>
          <w:rFonts w:hint="eastAsia"/>
          <w:b/>
          <w:bCs/>
        </w:rPr>
        <w:t xml:space="preserve"> </w:t>
      </w:r>
    </w:p>
    <w:p w14:paraId="2D9E00D1" w14:textId="77777777" w:rsidR="004D0BEA" w:rsidRDefault="00000000">
      <w:pPr>
        <w:pStyle w:val="11"/>
        <w:ind w:firstLine="482"/>
      </w:pPr>
      <w:r>
        <w:rPr>
          <w:rFonts w:hint="eastAsia"/>
          <w:b/>
          <w:bCs/>
        </w:rPr>
        <w:t>主要内容：</w:t>
      </w:r>
      <w:r>
        <w:rPr>
          <w:rFonts w:hint="eastAsia"/>
        </w:rPr>
        <w:t>为了保护集成电路布图设计专有权，鼓励集成电路技术的创新，促进科学技术的发展，制定本条例。规定了集成电路布图设计的登记、保护期限、专有权的内容以及侵权责任等。</w:t>
      </w:r>
      <w:r>
        <w:rPr>
          <w:rFonts w:hint="eastAsia"/>
        </w:rPr>
        <w:t xml:space="preserve"> </w:t>
      </w:r>
    </w:p>
    <w:p w14:paraId="21922E9D" w14:textId="77777777" w:rsidR="004D0BEA" w:rsidRDefault="00000000">
      <w:pPr>
        <w:pStyle w:val="11"/>
        <w:ind w:firstLine="482"/>
      </w:pPr>
      <w:r>
        <w:rPr>
          <w:rFonts w:hint="eastAsia"/>
          <w:b/>
          <w:bCs/>
        </w:rPr>
        <w:t>适用范围：</w:t>
      </w:r>
      <w:r>
        <w:rPr>
          <w:rFonts w:hint="eastAsia"/>
        </w:rPr>
        <w:t>在中华人民共和国境内创作、使用和传播集成电路布图设计的单位和个人。</w:t>
      </w:r>
    </w:p>
    <w:p w14:paraId="00130AF7" w14:textId="77777777" w:rsidR="004D0BEA" w:rsidRDefault="00000000">
      <w:pPr>
        <w:pStyle w:val="11"/>
        <w:ind w:firstLine="482"/>
      </w:pPr>
      <w:r>
        <w:rPr>
          <w:rFonts w:hint="eastAsia"/>
          <w:b/>
          <w:bCs/>
        </w:rPr>
        <w:t>实施时间：</w:t>
      </w:r>
      <w:r>
        <w:rPr>
          <w:rFonts w:hint="eastAsia"/>
        </w:rPr>
        <w:t>2001</w:t>
      </w:r>
      <w:r>
        <w:rPr>
          <w:rFonts w:hint="eastAsia"/>
        </w:rPr>
        <w:t>年</w:t>
      </w:r>
      <w:r>
        <w:rPr>
          <w:rFonts w:hint="eastAsia"/>
        </w:rPr>
        <w:t>10</w:t>
      </w:r>
      <w:r>
        <w:rPr>
          <w:rFonts w:hint="eastAsia"/>
        </w:rPr>
        <w:t>月</w:t>
      </w:r>
      <w:r>
        <w:rPr>
          <w:rFonts w:hint="eastAsia"/>
        </w:rPr>
        <w:t>1</w:t>
      </w:r>
      <w:r>
        <w:rPr>
          <w:rFonts w:hint="eastAsia"/>
        </w:rPr>
        <w:t>日。</w:t>
      </w:r>
    </w:p>
    <w:p w14:paraId="7598559B" w14:textId="77777777" w:rsidR="004D0BEA" w:rsidRDefault="00000000">
      <w:pPr>
        <w:pStyle w:val="a"/>
        <w:spacing w:before="312"/>
      </w:pPr>
      <w:bookmarkStart w:id="9" w:name="_Toc194005775"/>
      <w:r>
        <w:rPr>
          <w:rFonts w:hint="eastAsia"/>
        </w:rPr>
        <w:t>知识产权案例剖析</w:t>
      </w:r>
      <w:bookmarkEnd w:id="9"/>
    </w:p>
    <w:p w14:paraId="70191E22" w14:textId="77777777" w:rsidR="004D0BEA" w:rsidRDefault="00000000">
      <w:pPr>
        <w:pStyle w:val="a0"/>
        <w:spacing w:before="156"/>
      </w:pPr>
      <w:bookmarkStart w:id="10" w:name="_Toc194005776"/>
      <w:r>
        <w:rPr>
          <w:rFonts w:hint="eastAsia"/>
        </w:rPr>
        <w:t>案例背景</w:t>
      </w:r>
      <w:bookmarkEnd w:id="10"/>
    </w:p>
    <w:p w14:paraId="0EA5EB87" w14:textId="77777777" w:rsidR="004D0BEA" w:rsidRDefault="00000000">
      <w:pPr>
        <w:pStyle w:val="11"/>
        <w:ind w:firstLine="480"/>
      </w:pPr>
      <w:r>
        <w:rPr>
          <w:rFonts w:hint="eastAsia"/>
        </w:rPr>
        <w:t>2016</w:t>
      </w:r>
      <w:r>
        <w:rPr>
          <w:rFonts w:hint="eastAsia"/>
        </w:rPr>
        <w:t>年，西门子股份公司（</w:t>
      </w:r>
      <w:r>
        <w:rPr>
          <w:rFonts w:hint="eastAsia"/>
        </w:rPr>
        <w:t>SIEMENS AG</w:t>
      </w:r>
      <w:r>
        <w:rPr>
          <w:rFonts w:hint="eastAsia"/>
        </w:rPr>
        <w:t>）发现宁波奇帅电器有限公司（以下简称“奇帅公司”）在其生产的开关、插座等产品上擅自使用“西门子国际”、“</w:t>
      </w:r>
      <w:r>
        <w:rPr>
          <w:rFonts w:hint="eastAsia"/>
        </w:rPr>
        <w:t>SIEMEINS</w:t>
      </w:r>
      <w:r>
        <w:rPr>
          <w:rFonts w:hint="eastAsia"/>
        </w:rPr>
        <w:t>”等近似于西门子商标的标识。同时，奇帅公司在其官方网站上宣称“与德国西门子合作”和“源自德国技术”，并进一步注册了包含“西门子”字样的企业名称。这种做法通过电商平台大规模销售侵权产品，严重误导了消费者，使其错误地认为甲公司与西门子股份公司存在合作关系或隶属关系，从而侵犯了西门子的知识产权和商标权。</w:t>
      </w:r>
    </w:p>
    <w:p w14:paraId="0E49402F" w14:textId="77777777" w:rsidR="004D0BEA" w:rsidRDefault="00000000">
      <w:pPr>
        <w:pStyle w:val="11"/>
        <w:ind w:firstLineChars="0" w:firstLine="0"/>
        <w:jc w:val="center"/>
      </w:pPr>
      <w:r>
        <w:rPr>
          <w:rFonts w:hint="eastAsia"/>
          <w:noProof/>
        </w:rPr>
        <w:drawing>
          <wp:inline distT="0" distB="0" distL="0" distR="0" wp14:anchorId="14569289" wp14:editId="5840467B">
            <wp:extent cx="3001010" cy="1931670"/>
            <wp:effectExtent l="0" t="0" r="8890" b="0"/>
            <wp:docPr id="170692342" name="图片 1" descr="西门子 LOGO 标志设计图__企业LOGO标志_标志图标_设计图库_昵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342" name="图片 1" descr="西门子 LOGO 标志设计图__企业LOGO标志_标志图标_设计图库_昵图网"/>
                    <pic:cNvPicPr>
                      <a:picLocks noChangeAspect="1" noChangeArrowheads="1"/>
                    </pic:cNvPicPr>
                  </pic:nvPicPr>
                  <pic:blipFill>
                    <a:blip r:embed="rId10" cstate="print">
                      <a:extLst>
                        <a:ext uri="{28A0092B-C50C-407E-A947-70E740481C1C}">
                          <a14:useLocalDpi xmlns:a14="http://schemas.microsoft.com/office/drawing/2010/main" val="0"/>
                        </a:ext>
                      </a:extLst>
                    </a:blip>
                    <a:srcRect b="8917"/>
                    <a:stretch>
                      <a:fillRect/>
                    </a:stretch>
                  </pic:blipFill>
                  <pic:spPr>
                    <a:xfrm>
                      <a:off x="0" y="0"/>
                      <a:ext cx="3008108" cy="1936306"/>
                    </a:xfrm>
                    <a:prstGeom prst="rect">
                      <a:avLst/>
                    </a:prstGeom>
                    <a:noFill/>
                    <a:ln>
                      <a:noFill/>
                    </a:ln>
                  </pic:spPr>
                </pic:pic>
              </a:graphicData>
            </a:graphic>
          </wp:inline>
        </w:drawing>
      </w:r>
    </w:p>
    <w:p w14:paraId="2B301003" w14:textId="77777777" w:rsidR="004D0BEA" w:rsidRDefault="00000000">
      <w:pPr>
        <w:pStyle w:val="af3"/>
        <w:spacing w:after="156"/>
      </w:pPr>
      <w:r>
        <w:rPr>
          <w:rFonts w:hint="eastAsia"/>
        </w:rPr>
        <w:t>图</w:t>
      </w:r>
      <w:r>
        <w:rPr>
          <w:rFonts w:hint="eastAsia"/>
        </w:rPr>
        <w:t xml:space="preserve">1 </w:t>
      </w:r>
      <w:r>
        <w:rPr>
          <w:rFonts w:hint="eastAsia"/>
        </w:rPr>
        <w:t>商标图</w:t>
      </w:r>
    </w:p>
    <w:p w14:paraId="6DE2FAC2" w14:textId="77777777" w:rsidR="004D0BEA" w:rsidRDefault="00000000">
      <w:pPr>
        <w:pStyle w:val="11"/>
        <w:ind w:firstLine="480"/>
      </w:pPr>
      <w:r>
        <w:rPr>
          <w:rFonts w:hint="eastAsia"/>
        </w:rPr>
        <w:t>本案为最高人民法院二审审理的商标侵权及不正当竞争纠纷案件，涉及跨国企业西门子与国内企业奇帅公司之间的知识产权冲突。</w:t>
      </w:r>
    </w:p>
    <w:p w14:paraId="37BAE31B" w14:textId="77777777" w:rsidR="004D0BEA" w:rsidRDefault="00000000">
      <w:pPr>
        <w:pStyle w:val="11"/>
        <w:ind w:firstLine="482"/>
      </w:pPr>
      <w:r>
        <w:rPr>
          <w:rFonts w:hint="eastAsia"/>
          <w:b/>
          <w:bCs/>
        </w:rPr>
        <w:lastRenderedPageBreak/>
        <w:t>原告：</w:t>
      </w:r>
      <w:r>
        <w:rPr>
          <w:rFonts w:hint="eastAsia"/>
        </w:rPr>
        <w:t>西门子股份公司（</w:t>
      </w:r>
      <w:r>
        <w:rPr>
          <w:rFonts w:hint="eastAsia"/>
        </w:rPr>
        <w:t>SIEMENS AG</w:t>
      </w:r>
      <w:r>
        <w:rPr>
          <w:rFonts w:hint="eastAsia"/>
        </w:rPr>
        <w:t>）及西门子（中国）有限公司（简称“西门子中国公司”），均为全球知名电气企业，拥有“</w:t>
      </w:r>
      <w:r>
        <w:rPr>
          <w:rFonts w:hint="eastAsia"/>
        </w:rPr>
        <w:t>SIEMENS</w:t>
      </w:r>
      <w:r>
        <w:rPr>
          <w:rFonts w:hint="eastAsia"/>
        </w:rPr>
        <w:t>”及“西门子”注册商标，并在中国境内享有高知名度。</w:t>
      </w:r>
      <w:r>
        <w:rPr>
          <w:rFonts w:hint="eastAsia"/>
          <w:b/>
          <w:bCs/>
        </w:rPr>
        <w:t>被告：</w:t>
      </w:r>
      <w:r>
        <w:rPr>
          <w:rFonts w:hint="eastAsia"/>
        </w:rPr>
        <w:t>奇帅公司：主营洗衣机生产销售，通过标注“上海西门子电器有限公司”名称及“</w:t>
      </w:r>
      <w:r>
        <w:rPr>
          <w:rFonts w:hint="eastAsia"/>
        </w:rPr>
        <w:t>SIMBMC</w:t>
      </w:r>
      <w:r>
        <w:rPr>
          <w:rFonts w:hint="eastAsia"/>
        </w:rPr>
        <w:t>”标识，涉嫌攀附西门子商誉。新维创公司：奇帅公司的销售合作方，负责侵权产品的市场流通。龚某其、王某：奇帅公司股东及实际控制人，直接参与侵权行为。武某志：新维创公司原独资股东，参与销售侵权产品。</w:t>
      </w:r>
    </w:p>
    <w:p w14:paraId="17A75BC0" w14:textId="77777777" w:rsidR="004D0BEA" w:rsidRDefault="00000000">
      <w:pPr>
        <w:pStyle w:val="11"/>
        <w:ind w:firstLine="482"/>
      </w:pPr>
      <w:r>
        <w:rPr>
          <w:rFonts w:hint="eastAsia"/>
          <w:b/>
          <w:bCs/>
        </w:rPr>
        <w:t>侵权行为具体表现：</w:t>
      </w:r>
      <w:r>
        <w:rPr>
          <w:rFonts w:hint="eastAsia"/>
        </w:rPr>
        <w:t>在洗衣机机身、外包装及宣传材料中标注“上海西门子电器有限公司”企业名称，其中“西门子”字号与西门子注册商标完全一致。使用“</w:t>
      </w:r>
      <w:r>
        <w:rPr>
          <w:rFonts w:hint="eastAsia"/>
        </w:rPr>
        <w:t>SIMBMC</w:t>
      </w:r>
      <w:r>
        <w:rPr>
          <w:rFonts w:hint="eastAsia"/>
        </w:rPr>
        <w:t>”标识，与西门子“</w:t>
      </w:r>
      <w:r>
        <w:rPr>
          <w:rFonts w:hint="eastAsia"/>
        </w:rPr>
        <w:t>SIEMENS</w:t>
      </w:r>
      <w:r>
        <w:rPr>
          <w:rFonts w:hint="eastAsia"/>
        </w:rPr>
        <w:t>”商标在字母组合（“</w:t>
      </w:r>
      <w:r>
        <w:rPr>
          <w:rFonts w:hint="eastAsia"/>
        </w:rPr>
        <w:t>SI</w:t>
      </w:r>
      <w:r>
        <w:rPr>
          <w:rFonts w:hint="eastAsia"/>
        </w:rPr>
        <w:t>”开头）、发音（“</w:t>
      </w:r>
      <w:r>
        <w:rPr>
          <w:rFonts w:hint="eastAsia"/>
        </w:rPr>
        <w:t>SIM</w:t>
      </w:r>
      <w:r>
        <w:rPr>
          <w:rFonts w:hint="eastAsia"/>
        </w:rPr>
        <w:t>”开头）及整体视觉效果上高度近似。奇帅公司股东龚某其、王某在香港设立“香港西门子电器（集团）有限公司”，并授权奇帅公司生产标注该公司名称的产品。通过境外注册“上海西门子电器有限公司”（塞舌尔共和国）作为委托方，为侵权行为制造“合法授权”假象。</w:t>
      </w:r>
    </w:p>
    <w:p w14:paraId="0A779F88" w14:textId="6CC10651" w:rsidR="004D0BEA" w:rsidRDefault="00000000">
      <w:pPr>
        <w:pStyle w:val="11"/>
        <w:ind w:firstLine="480"/>
      </w:pPr>
      <w:r>
        <w:rPr>
          <w:rFonts w:hint="eastAsia"/>
        </w:rPr>
        <w:t>2013</w:t>
      </w:r>
      <w:r>
        <w:rPr>
          <w:rFonts w:hint="eastAsia"/>
        </w:rPr>
        <w:t>年：奇帅公司开始生产标注“上海西门子电器有限公司”的洗衣机，多地工商部门查处侵权行为。</w:t>
      </w:r>
      <w:r>
        <w:rPr>
          <w:rFonts w:hint="eastAsia"/>
        </w:rPr>
        <w:t>2017</w:t>
      </w:r>
      <w:r>
        <w:rPr>
          <w:rFonts w:hint="eastAsia"/>
        </w:rPr>
        <w:t>年</w:t>
      </w:r>
      <w:r>
        <w:rPr>
          <w:rFonts w:hint="eastAsia"/>
        </w:rPr>
        <w:t>8</w:t>
      </w:r>
      <w:r>
        <w:rPr>
          <w:rFonts w:hint="eastAsia"/>
        </w:rPr>
        <w:t>月：西门子公司首次提起诉讼，指控奇帅公司商标侵权及不正当竞争。</w:t>
      </w:r>
      <w:r>
        <w:rPr>
          <w:rFonts w:hint="eastAsia"/>
        </w:rPr>
        <w:t>2019</w:t>
      </w:r>
      <w:r>
        <w:rPr>
          <w:rFonts w:hint="eastAsia"/>
        </w:rPr>
        <w:t>年：江苏省高级人民法院一审判决</w:t>
      </w:r>
      <w:r w:rsidR="002A1784" w:rsidRPr="002A1784">
        <w:rPr>
          <w:rFonts w:hint="eastAsia"/>
        </w:rPr>
        <w:t>：新维创公司、奇帅公司立即停止侵害涉案商标专用权及不正当竞争行为，即停止在生产和销售的洗衣机、产品包装、产品宣传册、合同文书、互联网页面上使用“上海西门子电器有限公司”名称；奇帅公司、龚某其、王某连带赔偿西门子公司、西门子中国公司经济损失</w:t>
      </w:r>
      <w:r w:rsidR="002A1784" w:rsidRPr="002A1784">
        <w:rPr>
          <w:rFonts w:hint="eastAsia"/>
        </w:rPr>
        <w:t>1</w:t>
      </w:r>
      <w:r w:rsidR="002A1784" w:rsidRPr="002A1784">
        <w:rPr>
          <w:rFonts w:hint="eastAsia"/>
        </w:rPr>
        <w:t>亿元及合理开支</w:t>
      </w:r>
      <w:r w:rsidR="002A1784" w:rsidRPr="002A1784">
        <w:rPr>
          <w:rFonts w:hint="eastAsia"/>
        </w:rPr>
        <w:t>163000</w:t>
      </w:r>
      <w:r w:rsidR="002A1784" w:rsidRPr="002A1784">
        <w:rPr>
          <w:rFonts w:hint="eastAsia"/>
        </w:rPr>
        <w:t>元；新维创公司、武前志就上述款项在</w:t>
      </w:r>
      <w:r w:rsidR="002A1784" w:rsidRPr="002A1784">
        <w:rPr>
          <w:rFonts w:hint="eastAsia"/>
        </w:rPr>
        <w:t>50</w:t>
      </w:r>
      <w:r w:rsidR="002A1784" w:rsidRPr="002A1784">
        <w:rPr>
          <w:rFonts w:hint="eastAsia"/>
        </w:rPr>
        <w:t>万元范围内承担连带赔偿责任</w:t>
      </w:r>
      <w:r>
        <w:rPr>
          <w:rFonts w:hint="eastAsia"/>
        </w:rPr>
        <w:t>。</w:t>
      </w:r>
      <w:r>
        <w:rPr>
          <w:rFonts w:hint="eastAsia"/>
        </w:rPr>
        <w:t>2022</w:t>
      </w:r>
      <w:r>
        <w:rPr>
          <w:rFonts w:hint="eastAsia"/>
        </w:rPr>
        <w:t>年：最高人民法院二审驳回上诉，维持原判。</w:t>
      </w:r>
    </w:p>
    <w:p w14:paraId="2A2FE286" w14:textId="77777777" w:rsidR="004D0BEA" w:rsidRDefault="00000000">
      <w:pPr>
        <w:pStyle w:val="a0"/>
        <w:spacing w:before="156"/>
      </w:pPr>
      <w:bookmarkStart w:id="11" w:name="_Toc194005777"/>
      <w:r>
        <w:rPr>
          <w:rFonts w:hint="eastAsia"/>
        </w:rPr>
        <w:t>原因分析</w:t>
      </w:r>
      <w:bookmarkEnd w:id="11"/>
    </w:p>
    <w:p w14:paraId="0A11F86A" w14:textId="77777777" w:rsidR="004D0BEA" w:rsidRDefault="00000000">
      <w:pPr>
        <w:pStyle w:val="3"/>
      </w:pPr>
      <w:bookmarkStart w:id="12" w:name="_Toc194005778"/>
      <w:r>
        <w:rPr>
          <w:rFonts w:hint="eastAsia"/>
        </w:rPr>
        <w:t>商标侵权行为</w:t>
      </w:r>
      <w:bookmarkEnd w:id="12"/>
    </w:p>
    <w:p w14:paraId="6E73A3CA" w14:textId="77777777" w:rsidR="004D0BEA" w:rsidRDefault="00000000">
      <w:pPr>
        <w:pStyle w:val="11"/>
        <w:ind w:firstLine="482"/>
      </w:pPr>
      <w:r>
        <w:rPr>
          <w:rFonts w:hint="eastAsia"/>
          <w:b/>
          <w:bCs/>
        </w:rPr>
        <w:t>（</w:t>
      </w:r>
      <w:r>
        <w:rPr>
          <w:rFonts w:hint="eastAsia"/>
          <w:b/>
          <w:bCs/>
        </w:rPr>
        <w:t>1</w:t>
      </w:r>
      <w:r>
        <w:rPr>
          <w:rFonts w:hint="eastAsia"/>
          <w:b/>
          <w:bCs/>
        </w:rPr>
        <w:t>）商标性使用与混淆标准：</w:t>
      </w:r>
      <w:r>
        <w:rPr>
          <w:rFonts w:hint="eastAsia"/>
        </w:rPr>
        <w:t>2013</w:t>
      </w:r>
      <w:r>
        <w:rPr>
          <w:rFonts w:hint="eastAsia"/>
        </w:rPr>
        <w:t>年《商标法》第五十七条第二项规定，未经许可在同种商品上使用近似商标并导致混淆的，构成侵权。</w:t>
      </w:r>
    </w:p>
    <w:p w14:paraId="655F7FCE" w14:textId="77777777" w:rsidR="004D0BEA" w:rsidRDefault="00000000">
      <w:pPr>
        <w:pStyle w:val="11"/>
        <w:ind w:firstLine="480"/>
      </w:pPr>
      <w:r>
        <w:rPr>
          <w:rFonts w:hint="eastAsia"/>
        </w:rPr>
        <w:t>法院认定奇帅公司将“上海西门子电器有限公司”标注在洗衣机机身显著位置，属于商标性使用。“西门子”为注册商标核心部分，与侵权标识高度重合，</w:t>
      </w:r>
      <w:r>
        <w:rPr>
          <w:rFonts w:hint="eastAsia"/>
        </w:rPr>
        <w:lastRenderedPageBreak/>
        <w:t>结合消费者实际误认案例（如用户投诉、媒体报道），构成混淆。</w:t>
      </w:r>
    </w:p>
    <w:p w14:paraId="1BB6F2C1" w14:textId="77777777" w:rsidR="004D0BEA" w:rsidRDefault="00000000">
      <w:pPr>
        <w:pStyle w:val="11"/>
        <w:ind w:firstLine="482"/>
      </w:pPr>
      <w:r>
        <w:rPr>
          <w:rFonts w:hint="eastAsia"/>
          <w:b/>
          <w:bCs/>
        </w:rPr>
        <w:t>（</w:t>
      </w:r>
      <w:r>
        <w:rPr>
          <w:rFonts w:hint="eastAsia"/>
          <w:b/>
          <w:bCs/>
        </w:rPr>
        <w:t>2</w:t>
      </w:r>
      <w:r>
        <w:rPr>
          <w:rFonts w:hint="eastAsia"/>
          <w:b/>
          <w:bCs/>
        </w:rPr>
        <w:t>）商标弱化与攀附故意：</w:t>
      </w:r>
      <w:r>
        <w:rPr>
          <w:rFonts w:hint="eastAsia"/>
        </w:rPr>
        <w:t>字母组合“</w:t>
      </w:r>
      <w:r>
        <w:rPr>
          <w:rFonts w:hint="eastAsia"/>
        </w:rPr>
        <w:t>SIMBMC</w:t>
      </w:r>
      <w:r>
        <w:rPr>
          <w:rFonts w:hint="eastAsia"/>
        </w:rPr>
        <w:t>”与“</w:t>
      </w:r>
      <w:r>
        <w:rPr>
          <w:rFonts w:hint="eastAsia"/>
        </w:rPr>
        <w:t>SIEMENS</w:t>
      </w:r>
      <w:r>
        <w:rPr>
          <w:rFonts w:hint="eastAsia"/>
        </w:rPr>
        <w:t>”前三个字母“</w:t>
      </w:r>
      <w:r>
        <w:rPr>
          <w:rFonts w:hint="eastAsia"/>
        </w:rPr>
        <w:t>SIE</w:t>
      </w:r>
      <w:r>
        <w:rPr>
          <w:rFonts w:hint="eastAsia"/>
        </w:rPr>
        <w:t>”发音相似（</w:t>
      </w:r>
      <w:r>
        <w:rPr>
          <w:rFonts w:hint="eastAsia"/>
        </w:rPr>
        <w:t>SIM vs. SIE</w:t>
      </w:r>
      <w:r>
        <w:rPr>
          <w:rFonts w:hint="eastAsia"/>
        </w:rPr>
        <w:t>），且均以“</w:t>
      </w:r>
      <w:r>
        <w:rPr>
          <w:rFonts w:hint="eastAsia"/>
        </w:rPr>
        <w:t>SI</w:t>
      </w:r>
      <w:r>
        <w:rPr>
          <w:rFonts w:hint="eastAsia"/>
        </w:rPr>
        <w:t>”开头，刻意模仿西门子商标的显著特征。奇帅公司无法合理解释“</w:t>
      </w:r>
      <w:r>
        <w:rPr>
          <w:rFonts w:hint="eastAsia"/>
        </w:rPr>
        <w:t>SIMBMC</w:t>
      </w:r>
      <w:r>
        <w:rPr>
          <w:rFonts w:hint="eastAsia"/>
        </w:rPr>
        <w:t>”的设计逻辑，反而通过关联公司（如香港西门子）强化与西门子的虚假关联。</w:t>
      </w:r>
    </w:p>
    <w:p w14:paraId="548BA5B0" w14:textId="77777777" w:rsidR="004D0BEA" w:rsidRDefault="00000000">
      <w:pPr>
        <w:pStyle w:val="3"/>
      </w:pPr>
      <w:bookmarkStart w:id="13" w:name="_Toc194005779"/>
      <w:r>
        <w:rPr>
          <w:rFonts w:hint="eastAsia"/>
        </w:rPr>
        <w:t>不正当竞争行为</w:t>
      </w:r>
      <w:bookmarkEnd w:id="13"/>
    </w:p>
    <w:p w14:paraId="0C602709" w14:textId="77777777" w:rsidR="004D0BEA" w:rsidRDefault="00000000">
      <w:pPr>
        <w:pStyle w:val="11"/>
        <w:ind w:firstLine="482"/>
      </w:pPr>
      <w:r>
        <w:rPr>
          <w:rFonts w:hint="eastAsia"/>
          <w:b/>
          <w:bCs/>
        </w:rPr>
        <w:t>（</w:t>
      </w:r>
      <w:r>
        <w:rPr>
          <w:rFonts w:hint="eastAsia"/>
          <w:b/>
          <w:bCs/>
        </w:rPr>
        <w:t>1</w:t>
      </w:r>
      <w:r>
        <w:rPr>
          <w:rFonts w:hint="eastAsia"/>
          <w:b/>
          <w:bCs/>
        </w:rPr>
        <w:t>）企业名称权保护：</w:t>
      </w:r>
      <w:r>
        <w:rPr>
          <w:rFonts w:hint="eastAsia"/>
        </w:rPr>
        <w:t>法律依据：</w:t>
      </w:r>
      <w:r>
        <w:rPr>
          <w:rFonts w:hint="eastAsia"/>
        </w:rPr>
        <w:t>2017</w:t>
      </w:r>
      <w:r>
        <w:rPr>
          <w:rFonts w:hint="eastAsia"/>
        </w:rPr>
        <w:t>年《反不正当竞争法》第六条第二项禁止擅自使用他人有一定影响的企业名称。</w:t>
      </w:r>
    </w:p>
    <w:p w14:paraId="5FC62C6E" w14:textId="77777777" w:rsidR="004D0BEA" w:rsidRDefault="00000000">
      <w:pPr>
        <w:pStyle w:val="11"/>
        <w:ind w:firstLine="480"/>
      </w:pPr>
      <w:r>
        <w:rPr>
          <w:rFonts w:hint="eastAsia"/>
        </w:rPr>
        <w:t>“有一定影响”的证明：西门子公司成立于</w:t>
      </w:r>
      <w:r>
        <w:rPr>
          <w:rFonts w:hint="eastAsia"/>
        </w:rPr>
        <w:t>1897</w:t>
      </w:r>
      <w:r>
        <w:rPr>
          <w:rFonts w:hint="eastAsia"/>
        </w:rPr>
        <w:t>年，连续多年入选《财富》世界</w:t>
      </w:r>
      <w:r>
        <w:rPr>
          <w:rFonts w:hint="eastAsia"/>
        </w:rPr>
        <w:t>500</w:t>
      </w:r>
      <w:r>
        <w:rPr>
          <w:rFonts w:hint="eastAsia"/>
        </w:rPr>
        <w:t>强，“西门子”字号在电气领域具有全球知名度。西门子中国公司年营收超</w:t>
      </w:r>
      <w:r>
        <w:rPr>
          <w:rFonts w:hint="eastAsia"/>
        </w:rPr>
        <w:t>200</w:t>
      </w:r>
      <w:r>
        <w:rPr>
          <w:rFonts w:hint="eastAsia"/>
        </w:rPr>
        <w:t>亿元，市场占有率及品牌价值数据（如福布斯全球品牌百强排名）佐证其影响力。</w:t>
      </w:r>
    </w:p>
    <w:p w14:paraId="50A35F96" w14:textId="77777777" w:rsidR="004D0BEA" w:rsidRDefault="00000000">
      <w:pPr>
        <w:pStyle w:val="11"/>
        <w:ind w:firstLine="482"/>
      </w:pPr>
      <w:r>
        <w:rPr>
          <w:rFonts w:hint="eastAsia"/>
          <w:b/>
          <w:bCs/>
        </w:rPr>
        <w:t>（</w:t>
      </w:r>
      <w:r>
        <w:rPr>
          <w:rFonts w:hint="eastAsia"/>
          <w:b/>
          <w:bCs/>
        </w:rPr>
        <w:t>2</w:t>
      </w:r>
      <w:r>
        <w:rPr>
          <w:rFonts w:hint="eastAsia"/>
          <w:b/>
          <w:bCs/>
        </w:rPr>
        <w:t>）境外公司授权的合法性审查：</w:t>
      </w:r>
      <w:r>
        <w:rPr>
          <w:rFonts w:hint="eastAsia"/>
        </w:rPr>
        <w:t>奇帅公司虽主张获得“上海西门子公司”授权，但该境外公司无实际经营，奇帅公司未提交委托合同、资金往来等证据，法院认定其授权系虚假抗辩。</w:t>
      </w:r>
    </w:p>
    <w:p w14:paraId="2696DF5A" w14:textId="77777777" w:rsidR="004D0BEA" w:rsidRDefault="00000000">
      <w:pPr>
        <w:pStyle w:val="3"/>
      </w:pPr>
      <w:bookmarkStart w:id="14" w:name="_Toc194005780"/>
      <w:r>
        <w:rPr>
          <w:rFonts w:hint="eastAsia"/>
        </w:rPr>
        <w:t>高额赔偿与连带责任</w:t>
      </w:r>
      <w:bookmarkEnd w:id="14"/>
    </w:p>
    <w:p w14:paraId="05033BB8" w14:textId="77777777" w:rsidR="004D0BEA" w:rsidRDefault="00000000">
      <w:pPr>
        <w:pStyle w:val="11"/>
        <w:ind w:firstLine="482"/>
      </w:pPr>
      <w:r>
        <w:rPr>
          <w:rFonts w:hint="eastAsia"/>
          <w:b/>
          <w:bCs/>
        </w:rPr>
        <w:t>（</w:t>
      </w:r>
      <w:r>
        <w:rPr>
          <w:rFonts w:hint="eastAsia"/>
          <w:b/>
          <w:bCs/>
        </w:rPr>
        <w:t>1</w:t>
      </w:r>
      <w:r>
        <w:rPr>
          <w:rFonts w:hint="eastAsia"/>
          <w:b/>
          <w:bCs/>
        </w:rPr>
        <w:t>）赔偿金额的裁量依据：</w:t>
      </w:r>
      <w:r>
        <w:rPr>
          <w:rFonts w:hint="eastAsia"/>
        </w:rPr>
        <w:t>奇帅公司年销售额</w:t>
      </w:r>
      <w:r>
        <w:rPr>
          <w:rFonts w:hint="eastAsia"/>
        </w:rPr>
        <w:t>15</w:t>
      </w:r>
      <w:r>
        <w:rPr>
          <w:rFonts w:hint="eastAsia"/>
        </w:rPr>
        <w:t>亿元（媒体报道），全国经销商</w:t>
      </w:r>
      <w:r>
        <w:rPr>
          <w:rFonts w:hint="eastAsia"/>
        </w:rPr>
        <w:t>1500</w:t>
      </w:r>
      <w:r>
        <w:rPr>
          <w:rFonts w:hint="eastAsia"/>
        </w:rPr>
        <w:t>家，侵权产品覆盖</w:t>
      </w:r>
      <w:r>
        <w:rPr>
          <w:rFonts w:hint="eastAsia"/>
        </w:rPr>
        <w:t>29</w:t>
      </w:r>
      <w:r>
        <w:rPr>
          <w:rFonts w:hint="eastAsia"/>
        </w:rPr>
        <w:t>个省市。</w:t>
      </w:r>
      <w:r>
        <w:rPr>
          <w:rFonts w:hint="eastAsia"/>
        </w:rPr>
        <w:t>3C</w:t>
      </w:r>
      <w:r>
        <w:rPr>
          <w:rFonts w:hint="eastAsia"/>
        </w:rPr>
        <w:t>认证证书显示侵权产品型号超</w:t>
      </w:r>
      <w:r>
        <w:rPr>
          <w:rFonts w:hint="eastAsia"/>
        </w:rPr>
        <w:t>1400</w:t>
      </w:r>
      <w:r>
        <w:rPr>
          <w:rFonts w:hint="eastAsia"/>
        </w:rPr>
        <w:t>种，生产规模庞大。参考海尔（</w:t>
      </w:r>
      <w:r>
        <w:rPr>
          <w:rFonts w:hint="eastAsia"/>
        </w:rPr>
        <w:t>34%-37%</w:t>
      </w:r>
      <w:r>
        <w:rPr>
          <w:rFonts w:hint="eastAsia"/>
        </w:rPr>
        <w:t>）、惠而浦（</w:t>
      </w:r>
      <w:r>
        <w:rPr>
          <w:rFonts w:hint="eastAsia"/>
        </w:rPr>
        <w:t>37%</w:t>
      </w:r>
      <w:r>
        <w:rPr>
          <w:rFonts w:hint="eastAsia"/>
        </w:rPr>
        <w:t>）年报数据，结合行业特性，法院酌定利润率为</w:t>
      </w:r>
      <w:r>
        <w:rPr>
          <w:rFonts w:hint="eastAsia"/>
        </w:rPr>
        <w:t>35%</w:t>
      </w:r>
      <w:r>
        <w:rPr>
          <w:rFonts w:hint="eastAsia"/>
        </w:rPr>
        <w:t>。奇帅公司拒不提交财务账册，法院依《商标法》第六十三条推定其侵权获利远超法定上限。</w:t>
      </w:r>
    </w:p>
    <w:p w14:paraId="6816A1E9" w14:textId="77777777" w:rsidR="004D0BEA" w:rsidRDefault="00000000">
      <w:pPr>
        <w:pStyle w:val="11"/>
        <w:ind w:firstLine="482"/>
      </w:pPr>
      <w:r>
        <w:rPr>
          <w:rFonts w:hint="eastAsia"/>
          <w:b/>
          <w:bCs/>
        </w:rPr>
        <w:t>（</w:t>
      </w:r>
      <w:r>
        <w:rPr>
          <w:rFonts w:hint="eastAsia"/>
          <w:b/>
          <w:bCs/>
        </w:rPr>
        <w:t>2</w:t>
      </w:r>
      <w:r>
        <w:rPr>
          <w:rFonts w:hint="eastAsia"/>
          <w:b/>
          <w:bCs/>
        </w:rPr>
        <w:t>）个人连带责任的突破性认定：</w:t>
      </w:r>
      <w:r>
        <w:rPr>
          <w:rFonts w:hint="eastAsia"/>
        </w:rPr>
        <w:t>龚某其、王某作为奇帅公司唯一股东，直接参与设立侵权关联公司（如香港西门子）、申请近似商标（如“</w:t>
      </w:r>
      <w:r>
        <w:rPr>
          <w:rFonts w:hint="eastAsia"/>
        </w:rPr>
        <w:t>SIMBMC</w:t>
      </w:r>
      <w:r>
        <w:rPr>
          <w:rFonts w:hint="eastAsia"/>
        </w:rPr>
        <w:t>”），构成共同侵权（《民法典》第一千一百六十八条）。对“夫妻公司”的司法审慎：一审以“夫妻股东财产混同”为由认定连带责任，但二审明确该理由不足；最终基于股东实际侵权行为维持连带责任，避免机械适用法人独立原则。</w:t>
      </w:r>
    </w:p>
    <w:p w14:paraId="474E5DF5" w14:textId="77777777" w:rsidR="004D0BEA" w:rsidRDefault="00000000">
      <w:pPr>
        <w:pStyle w:val="a0"/>
        <w:spacing w:before="156"/>
      </w:pPr>
      <w:bookmarkStart w:id="15" w:name="_Toc194005781"/>
      <w:r>
        <w:rPr>
          <w:rFonts w:hint="eastAsia"/>
        </w:rPr>
        <w:t>反思与警示</w:t>
      </w:r>
      <w:bookmarkEnd w:id="15"/>
    </w:p>
    <w:p w14:paraId="24775294" w14:textId="77777777" w:rsidR="004D0BEA" w:rsidRDefault="00000000">
      <w:pPr>
        <w:pStyle w:val="3"/>
      </w:pPr>
      <w:bookmarkStart w:id="16" w:name="_Toc194005782"/>
      <w:r>
        <w:lastRenderedPageBreak/>
        <w:t>企业合规管理</w:t>
      </w:r>
      <w:bookmarkEnd w:id="16"/>
    </w:p>
    <w:p w14:paraId="10A7B1B0" w14:textId="77777777" w:rsidR="004D0BEA" w:rsidRDefault="00000000">
      <w:pPr>
        <w:pStyle w:val="11"/>
        <w:ind w:firstLine="482"/>
      </w:pPr>
      <w:r>
        <w:rPr>
          <w:rFonts w:hint="eastAsia"/>
          <w:b/>
          <w:bCs/>
        </w:rPr>
        <w:t>（</w:t>
      </w:r>
      <w:r>
        <w:rPr>
          <w:rFonts w:hint="eastAsia"/>
          <w:b/>
          <w:bCs/>
        </w:rPr>
        <w:t>1</w:t>
      </w:r>
      <w:r>
        <w:rPr>
          <w:rFonts w:hint="eastAsia"/>
          <w:b/>
          <w:bCs/>
        </w:rPr>
        <w:t>）</w:t>
      </w:r>
      <w:r>
        <w:rPr>
          <w:b/>
          <w:bCs/>
        </w:rPr>
        <w:t>商标与字号使用的风险防控</w:t>
      </w:r>
      <w:r>
        <w:rPr>
          <w:rFonts w:hint="eastAsia"/>
          <w:b/>
          <w:bCs/>
        </w:rPr>
        <w:t>：</w:t>
      </w:r>
      <w:r>
        <w:t>企业通过境外注册公司</w:t>
      </w:r>
      <w:r>
        <w:t>“</w:t>
      </w:r>
      <w:r>
        <w:t>合法化</w:t>
      </w:r>
      <w:r>
        <w:t>”</w:t>
      </w:r>
      <w:r>
        <w:t>使用他人商标的行为（如</w:t>
      </w:r>
      <w:r>
        <w:t>“</w:t>
      </w:r>
      <w:r>
        <w:t>上海西门子公司</w:t>
      </w:r>
      <w:r>
        <w:t>”</w:t>
      </w:r>
      <w:r>
        <w:t>），可能被认定为恶意规避法律，需谨慎审查合作方资质。品牌多元化不得以混淆公众为代价，需确保新品牌名称、标识与既有知名品牌无关联性。</w:t>
      </w:r>
    </w:p>
    <w:p w14:paraId="0C587014" w14:textId="77777777" w:rsidR="004D0BEA" w:rsidRDefault="00000000">
      <w:pPr>
        <w:pStyle w:val="11"/>
        <w:ind w:firstLine="482"/>
      </w:pPr>
      <w:r>
        <w:rPr>
          <w:rFonts w:hint="eastAsia"/>
          <w:b/>
          <w:bCs/>
        </w:rPr>
        <w:t>（</w:t>
      </w:r>
      <w:r>
        <w:rPr>
          <w:rFonts w:hint="eastAsia"/>
          <w:b/>
          <w:bCs/>
        </w:rPr>
        <w:t>2</w:t>
      </w:r>
      <w:r>
        <w:rPr>
          <w:rFonts w:hint="eastAsia"/>
          <w:b/>
          <w:bCs/>
        </w:rPr>
        <w:t>）</w:t>
      </w:r>
      <w:r>
        <w:rPr>
          <w:b/>
          <w:bCs/>
        </w:rPr>
        <w:t>证据留存与诉讼应对</w:t>
      </w:r>
      <w:r>
        <w:rPr>
          <w:rFonts w:hint="eastAsia"/>
          <w:b/>
          <w:bCs/>
        </w:rPr>
        <w:t>：</w:t>
      </w:r>
      <w:r>
        <w:t>企业应完整保存生产、销售记录，避免因举证不能导致高额赔偿推定。使用他人商标或企业名称时，需留存授权合同、付款凭证等证据，证明使用行为的合法性。</w:t>
      </w:r>
    </w:p>
    <w:p w14:paraId="37D05927" w14:textId="77777777" w:rsidR="004D0BEA" w:rsidRDefault="00000000">
      <w:pPr>
        <w:pStyle w:val="3"/>
      </w:pPr>
      <w:bookmarkStart w:id="17" w:name="_Toc194005783"/>
      <w:r>
        <w:t>司法实践的趋势与启示</w:t>
      </w:r>
      <w:bookmarkEnd w:id="17"/>
    </w:p>
    <w:p w14:paraId="4EF8F540" w14:textId="77777777" w:rsidR="004D0BEA" w:rsidRDefault="00000000">
      <w:pPr>
        <w:pStyle w:val="11"/>
        <w:ind w:firstLine="482"/>
        <w:rPr>
          <w:b/>
          <w:bCs/>
        </w:rPr>
      </w:pPr>
      <w:r>
        <w:rPr>
          <w:rFonts w:hint="eastAsia"/>
          <w:b/>
          <w:bCs/>
        </w:rPr>
        <w:t>（</w:t>
      </w:r>
      <w:r>
        <w:rPr>
          <w:rFonts w:hint="eastAsia"/>
          <w:b/>
          <w:bCs/>
        </w:rPr>
        <w:t>1</w:t>
      </w:r>
      <w:r>
        <w:rPr>
          <w:rFonts w:hint="eastAsia"/>
          <w:b/>
          <w:bCs/>
        </w:rPr>
        <w:t>）高额赔偿的常态化：</w:t>
      </w:r>
      <w:r>
        <w:rPr>
          <w:rFonts w:hint="eastAsia"/>
        </w:rPr>
        <w:t>本案</w:t>
      </w:r>
      <w:r>
        <w:rPr>
          <w:rFonts w:hint="eastAsia"/>
        </w:rPr>
        <w:t>1</w:t>
      </w:r>
      <w:r>
        <w:rPr>
          <w:rFonts w:hint="eastAsia"/>
        </w:rPr>
        <w:t>亿元赔偿彰显法院对恶意侵权、规模化侵权的严惩态度。类似案例（如“红牛商标案”</w:t>
      </w:r>
      <w:r>
        <w:rPr>
          <w:rFonts w:hint="eastAsia"/>
        </w:rPr>
        <w:t>50</w:t>
      </w:r>
      <w:r>
        <w:rPr>
          <w:rFonts w:hint="eastAsia"/>
        </w:rPr>
        <w:t>亿元索赔）显示，权利人的实际损失或侵权人获利将成为赔偿核心依据。</w:t>
      </w:r>
    </w:p>
    <w:p w14:paraId="3FE5680D" w14:textId="77777777" w:rsidR="004D0BEA" w:rsidRDefault="00000000">
      <w:pPr>
        <w:pStyle w:val="11"/>
        <w:ind w:firstLine="482"/>
        <w:rPr>
          <w:b/>
          <w:bCs/>
        </w:rPr>
      </w:pPr>
      <w:r>
        <w:rPr>
          <w:rFonts w:hint="eastAsia"/>
          <w:b/>
          <w:bCs/>
        </w:rPr>
        <w:t>（</w:t>
      </w:r>
      <w:r>
        <w:rPr>
          <w:rFonts w:hint="eastAsia"/>
          <w:b/>
          <w:bCs/>
        </w:rPr>
        <w:t>2</w:t>
      </w:r>
      <w:r>
        <w:rPr>
          <w:rFonts w:hint="eastAsia"/>
          <w:b/>
          <w:bCs/>
        </w:rPr>
        <w:t>）</w:t>
      </w:r>
      <w:r>
        <w:rPr>
          <w:b/>
          <w:bCs/>
        </w:rPr>
        <w:t>个人责任穿透的司法创新</w:t>
      </w:r>
      <w:r>
        <w:rPr>
          <w:rFonts w:hint="eastAsia"/>
          <w:b/>
          <w:bCs/>
        </w:rPr>
        <w:t>：</w:t>
      </w:r>
      <w:r>
        <w:t>股东、高管个人连带责任的认定逐步突破</w:t>
      </w:r>
      <w:r>
        <w:t>“</w:t>
      </w:r>
      <w:r>
        <w:t>公司面纱</w:t>
      </w:r>
      <w:r>
        <w:t>”</w:t>
      </w:r>
      <w:r>
        <w:t>限制，尤其针对重复侵权、设立关联公司等蓄意行为，司法实践中更注重实质审查（参见《九民纪要》第</w:t>
      </w:r>
      <w:r>
        <w:t>10</w:t>
      </w:r>
      <w:r>
        <w:t>条）。</w:t>
      </w:r>
    </w:p>
    <w:p w14:paraId="5ED57F5B" w14:textId="77777777" w:rsidR="004D0BEA" w:rsidRDefault="00000000">
      <w:pPr>
        <w:pStyle w:val="3"/>
      </w:pPr>
      <w:bookmarkStart w:id="18" w:name="_Toc194005784"/>
      <w:r>
        <w:t>市场治理的规范意义</w:t>
      </w:r>
      <w:bookmarkEnd w:id="18"/>
    </w:p>
    <w:p w14:paraId="3F83AE95" w14:textId="77777777" w:rsidR="004D0BEA" w:rsidRDefault="00000000">
      <w:pPr>
        <w:pStyle w:val="11"/>
        <w:ind w:firstLine="482"/>
      </w:pPr>
      <w:r>
        <w:rPr>
          <w:rFonts w:hint="eastAsia"/>
          <w:b/>
          <w:bCs/>
        </w:rPr>
        <w:t>（</w:t>
      </w:r>
      <w:r>
        <w:rPr>
          <w:rFonts w:hint="eastAsia"/>
          <w:b/>
          <w:bCs/>
        </w:rPr>
        <w:t>1</w:t>
      </w:r>
      <w:r>
        <w:rPr>
          <w:rFonts w:hint="eastAsia"/>
          <w:b/>
          <w:bCs/>
        </w:rPr>
        <w:t>）</w:t>
      </w:r>
      <w:r>
        <w:rPr>
          <w:b/>
          <w:bCs/>
        </w:rPr>
        <w:t>遏制</w:t>
      </w:r>
      <w:r>
        <w:rPr>
          <w:b/>
          <w:bCs/>
        </w:rPr>
        <w:t>“</w:t>
      </w:r>
      <w:r>
        <w:rPr>
          <w:b/>
          <w:bCs/>
        </w:rPr>
        <w:t>傍名牌</w:t>
      </w:r>
      <w:r>
        <w:rPr>
          <w:b/>
          <w:bCs/>
        </w:rPr>
        <w:t>”</w:t>
      </w:r>
      <w:r>
        <w:rPr>
          <w:b/>
          <w:bCs/>
        </w:rPr>
        <w:t>产业链</w:t>
      </w:r>
      <w:r>
        <w:rPr>
          <w:rFonts w:hint="eastAsia"/>
          <w:b/>
          <w:bCs/>
        </w:rPr>
        <w:t>：</w:t>
      </w:r>
      <w:r>
        <w:t>本案揭露</w:t>
      </w:r>
      <w:r>
        <w:t>“</w:t>
      </w:r>
      <w:r>
        <w:t>境外注册</w:t>
      </w:r>
      <w:r>
        <w:t>+</w:t>
      </w:r>
      <w:r>
        <w:t>国内授权</w:t>
      </w:r>
      <w:r>
        <w:t>+</w:t>
      </w:r>
      <w:r>
        <w:t>多品牌掩护</w:t>
      </w:r>
      <w:r>
        <w:t>”</w:t>
      </w:r>
      <w:r>
        <w:t>的侵权模式，法院通过否定境外空壳公司的合法性，切断灰色产业链的</w:t>
      </w:r>
      <w:r>
        <w:t>“</w:t>
      </w:r>
      <w:r>
        <w:t>洗白</w:t>
      </w:r>
      <w:r>
        <w:t>”</w:t>
      </w:r>
      <w:r>
        <w:t>路径</w:t>
      </w:r>
      <w:r>
        <w:rPr>
          <w:rFonts w:hint="eastAsia"/>
        </w:rPr>
        <w:t>。</w:t>
      </w:r>
    </w:p>
    <w:p w14:paraId="39CD72E1" w14:textId="77777777" w:rsidR="004D0BEA" w:rsidRDefault="00000000">
      <w:pPr>
        <w:pStyle w:val="11"/>
        <w:ind w:firstLine="482"/>
      </w:pPr>
      <w:r>
        <w:rPr>
          <w:rFonts w:hint="eastAsia"/>
          <w:b/>
          <w:bCs/>
        </w:rPr>
        <w:t>（</w:t>
      </w:r>
      <w:r>
        <w:rPr>
          <w:rFonts w:hint="eastAsia"/>
          <w:b/>
          <w:bCs/>
        </w:rPr>
        <w:t>2</w:t>
      </w:r>
      <w:r>
        <w:rPr>
          <w:rFonts w:hint="eastAsia"/>
          <w:b/>
          <w:bCs/>
        </w:rPr>
        <w:t>）</w:t>
      </w:r>
      <w:r>
        <w:rPr>
          <w:b/>
          <w:bCs/>
        </w:rPr>
        <w:t>强化知识产权一体化保护</w:t>
      </w:r>
      <w:r>
        <w:rPr>
          <w:rFonts w:hint="eastAsia"/>
        </w:rPr>
        <w:t>：</w:t>
      </w:r>
      <w:r>
        <w:t>法院将企业名称中的字号与注册商标等同保护（参照《商标法》第五十八条），防止侵权人通过字号使用规避商标侵权责任。</w:t>
      </w:r>
    </w:p>
    <w:p w14:paraId="56431E99" w14:textId="77777777" w:rsidR="004D0BEA" w:rsidRDefault="00000000">
      <w:pPr>
        <w:pStyle w:val="a"/>
        <w:spacing w:before="312"/>
      </w:pPr>
      <w:bookmarkStart w:id="19" w:name="_Toc194005785"/>
      <w:r>
        <w:rPr>
          <w:rFonts w:hint="eastAsia"/>
        </w:rPr>
        <w:t>劳资纠纷案例解析</w:t>
      </w:r>
      <w:bookmarkEnd w:id="19"/>
    </w:p>
    <w:p w14:paraId="7286F47D" w14:textId="0C753E67" w:rsidR="004D0BEA" w:rsidRDefault="00000000" w:rsidP="002F66C6">
      <w:pPr>
        <w:pStyle w:val="a0"/>
        <w:spacing w:before="156"/>
      </w:pPr>
      <w:bookmarkStart w:id="20" w:name="_Toc194005786"/>
      <w:r w:rsidRPr="002F66C6">
        <w:rPr>
          <w:rFonts w:hint="eastAsia"/>
        </w:rPr>
        <w:t>案例背</w:t>
      </w:r>
      <w:r>
        <w:rPr>
          <w:rFonts w:hint="eastAsia"/>
        </w:rPr>
        <w:t>景</w:t>
      </w:r>
      <w:bookmarkEnd w:id="20"/>
    </w:p>
    <w:p w14:paraId="1F58268E" w14:textId="77777777" w:rsidR="00890D8B" w:rsidRPr="00890D8B" w:rsidRDefault="00890D8B" w:rsidP="00890D8B">
      <w:pPr>
        <w:ind w:firstLineChars="200" w:firstLine="480"/>
        <w:jc w:val="left"/>
        <w:rPr>
          <w:rFonts w:ascii="宋体" w:hAnsi="宋体" w:cs="宋体" w:hint="eastAsia"/>
        </w:rPr>
      </w:pPr>
      <w:r w:rsidRPr="00890D8B">
        <w:rPr>
          <w:rFonts w:ascii="宋体" w:hAnsi="宋体" w:cs="宋体"/>
        </w:rPr>
        <w:t>沈阳腾越建筑工程有限公司（统一社会信用代码：91210100696523992T）作为碧桂园集团旗下核心建筑企业，近年来因系统性拖欠农民工工资问题被多地列入"黑名单"。该公司在全国范围内承建了多个大型房地产项目，却屡次违反《保障农民工工资支付条例》，形成了恶劣的行业影响。</w:t>
      </w:r>
    </w:p>
    <w:p w14:paraId="13CBEA2F" w14:textId="77777777" w:rsidR="00890D8B" w:rsidRPr="00890D8B" w:rsidRDefault="00890D8B" w:rsidP="00890D8B">
      <w:pPr>
        <w:ind w:firstLineChars="200" w:firstLine="480"/>
        <w:jc w:val="left"/>
        <w:rPr>
          <w:rFonts w:ascii="宋体" w:hAnsi="宋体" w:cs="宋体" w:hint="eastAsia"/>
        </w:rPr>
      </w:pPr>
      <w:r w:rsidRPr="00890D8B">
        <w:rPr>
          <w:rFonts w:ascii="宋体" w:hAnsi="宋体" w:cs="宋体"/>
        </w:rPr>
        <w:t>根据公开资料显示，该公司拖欠行为呈现以下特征：</w:t>
      </w:r>
    </w:p>
    <w:p w14:paraId="10E3C353" w14:textId="056E86EA" w:rsidR="00890D8B" w:rsidRPr="00890D8B" w:rsidRDefault="00890D8B" w:rsidP="00890D8B">
      <w:pPr>
        <w:ind w:left="360"/>
        <w:jc w:val="left"/>
        <w:rPr>
          <w:rFonts w:ascii="宋体" w:hAnsi="宋体" w:cs="宋体" w:hint="eastAsia"/>
        </w:rPr>
      </w:pPr>
      <w:r w:rsidRPr="00890D8B">
        <w:rPr>
          <w:rFonts w:ascii="宋体" w:hAnsi="宋体" w:cs="宋体" w:hint="eastAsia"/>
          <w:b/>
          <w:bCs/>
        </w:rPr>
        <w:lastRenderedPageBreak/>
        <w:t>（1）</w:t>
      </w:r>
      <w:r w:rsidRPr="00890D8B">
        <w:rPr>
          <w:rFonts w:ascii="宋体" w:hAnsi="宋体" w:cs="宋体"/>
          <w:b/>
          <w:bCs/>
        </w:rPr>
        <w:t>地域分布广：</w:t>
      </w:r>
      <w:r w:rsidRPr="00890D8B">
        <w:rPr>
          <w:rFonts w:ascii="宋体" w:hAnsi="宋体" w:cs="宋体"/>
        </w:rPr>
        <w:t>涉及广西、辽宁、河北、安徽、沈阳等5个省份</w:t>
      </w:r>
      <w:r>
        <w:rPr>
          <w:rFonts w:ascii="宋体" w:hAnsi="宋体" w:cs="宋体" w:hint="eastAsia"/>
        </w:rPr>
        <w:t>；</w:t>
      </w:r>
    </w:p>
    <w:p w14:paraId="0CC90E1D" w14:textId="7C3A7C5F" w:rsidR="00890D8B" w:rsidRPr="00890D8B" w:rsidRDefault="00890D8B" w:rsidP="00890D8B">
      <w:pPr>
        <w:ind w:left="360"/>
        <w:jc w:val="left"/>
        <w:rPr>
          <w:rFonts w:ascii="宋体" w:hAnsi="宋体" w:cs="宋体" w:hint="eastAsia"/>
        </w:rPr>
      </w:pPr>
      <w:r w:rsidRPr="00890D8B">
        <w:rPr>
          <w:rFonts w:ascii="宋体" w:hAnsi="宋体" w:cs="宋体" w:hint="eastAsia"/>
          <w:b/>
          <w:bCs/>
        </w:rPr>
        <w:t>（2）</w:t>
      </w:r>
      <w:r w:rsidRPr="00890D8B">
        <w:rPr>
          <w:rFonts w:ascii="宋体" w:hAnsi="宋体" w:cs="宋体"/>
          <w:b/>
          <w:bCs/>
        </w:rPr>
        <w:t>持续时间长：</w:t>
      </w:r>
      <w:r w:rsidRPr="00890D8B">
        <w:rPr>
          <w:rFonts w:ascii="宋体" w:hAnsi="宋体" w:cs="宋体"/>
        </w:rPr>
        <w:t>最早可追溯至2018年，最新案件发生在2024年</w:t>
      </w:r>
      <w:r>
        <w:rPr>
          <w:rFonts w:ascii="宋体" w:hAnsi="宋体" w:cs="宋体" w:hint="eastAsia"/>
        </w:rPr>
        <w:t>；</w:t>
      </w:r>
    </w:p>
    <w:p w14:paraId="182F228A" w14:textId="6AC23FA5" w:rsidR="00890D8B" w:rsidRPr="00890D8B" w:rsidRDefault="00890D8B" w:rsidP="00890D8B">
      <w:pPr>
        <w:ind w:left="360"/>
        <w:jc w:val="left"/>
        <w:rPr>
          <w:rFonts w:ascii="宋体" w:hAnsi="宋体" w:cs="宋体" w:hint="eastAsia"/>
        </w:rPr>
      </w:pPr>
      <w:r w:rsidRPr="00890D8B">
        <w:rPr>
          <w:rFonts w:ascii="宋体" w:hAnsi="宋体" w:cs="宋体" w:hint="eastAsia"/>
          <w:b/>
          <w:bCs/>
        </w:rPr>
        <w:t>（3）</w:t>
      </w:r>
      <w:r w:rsidRPr="00890D8B">
        <w:rPr>
          <w:rFonts w:ascii="宋体" w:hAnsi="宋体" w:cs="宋体"/>
          <w:b/>
          <w:bCs/>
        </w:rPr>
        <w:t>欠薪规模大：</w:t>
      </w:r>
      <w:r w:rsidRPr="00890D8B">
        <w:rPr>
          <w:rFonts w:ascii="宋体" w:hAnsi="宋体" w:cs="宋体"/>
        </w:rPr>
        <w:t>累计拖欠金额超过1000万元，涉及农民工400余人</w:t>
      </w:r>
      <w:r>
        <w:rPr>
          <w:rFonts w:ascii="宋体" w:hAnsi="宋体" w:cs="宋体" w:hint="eastAsia"/>
        </w:rPr>
        <w:t>；</w:t>
      </w:r>
    </w:p>
    <w:p w14:paraId="634CBDDB" w14:textId="391095F4" w:rsidR="00890D8B" w:rsidRPr="00890D8B" w:rsidRDefault="00890D8B" w:rsidP="00890D8B">
      <w:pPr>
        <w:ind w:left="360"/>
        <w:jc w:val="left"/>
        <w:rPr>
          <w:rFonts w:ascii="宋体" w:hAnsi="宋体" w:cs="宋体" w:hint="eastAsia"/>
        </w:rPr>
      </w:pPr>
      <w:r w:rsidRPr="00890D8B">
        <w:rPr>
          <w:rFonts w:ascii="宋体" w:hAnsi="宋体" w:cs="宋体" w:hint="eastAsia"/>
          <w:b/>
          <w:bCs/>
        </w:rPr>
        <w:t>（4）</w:t>
      </w:r>
      <w:r w:rsidRPr="00890D8B">
        <w:rPr>
          <w:rFonts w:ascii="宋体" w:hAnsi="宋体" w:cs="宋体"/>
          <w:b/>
          <w:bCs/>
        </w:rPr>
        <w:t>违法情节严重：</w:t>
      </w:r>
      <w:r w:rsidRPr="00890D8B">
        <w:rPr>
          <w:rFonts w:ascii="宋体" w:hAnsi="宋体" w:cs="宋体"/>
        </w:rPr>
        <w:t>多次被劳动监察部门处罚后仍拒不整改</w:t>
      </w:r>
      <w:r>
        <w:rPr>
          <w:rFonts w:ascii="宋体" w:hAnsi="宋体" w:cs="宋体" w:hint="eastAsia"/>
        </w:rPr>
        <w:t>；</w:t>
      </w:r>
    </w:p>
    <w:p w14:paraId="2AEEAFE0" w14:textId="0CD724A6" w:rsidR="00890D8B" w:rsidRDefault="00890D8B" w:rsidP="00890D8B">
      <w:pPr>
        <w:pStyle w:val="af3"/>
        <w:spacing w:afterLines="0" w:after="0"/>
      </w:pPr>
      <w:r>
        <w:rPr>
          <w:rFonts w:hint="eastAsia"/>
        </w:rPr>
        <w:t>表</w:t>
      </w:r>
      <w:r>
        <w:rPr>
          <w:rFonts w:hint="eastAsia"/>
        </w:rPr>
        <w:t xml:space="preserve">1 </w:t>
      </w:r>
      <w:r>
        <w:rPr>
          <w:rFonts w:hint="eastAsia"/>
        </w:rPr>
        <w:t>违法案件统计表</w:t>
      </w:r>
    </w:p>
    <w:tbl>
      <w:tblPr>
        <w:tblW w:w="0" w:type="auto"/>
        <w:tblCellMar>
          <w:top w:w="15" w:type="dxa"/>
          <w:left w:w="15" w:type="dxa"/>
          <w:bottom w:w="15" w:type="dxa"/>
          <w:right w:w="15" w:type="dxa"/>
        </w:tblCellMar>
        <w:tblLook w:val="04A0" w:firstRow="1" w:lastRow="0" w:firstColumn="1" w:lastColumn="0" w:noHBand="0" w:noVBand="1"/>
      </w:tblPr>
      <w:tblGrid>
        <w:gridCol w:w="1701"/>
        <w:gridCol w:w="1418"/>
        <w:gridCol w:w="2693"/>
        <w:gridCol w:w="2494"/>
      </w:tblGrid>
      <w:tr w:rsidR="002A1784" w:rsidRPr="003675D9" w14:paraId="7255A8E0" w14:textId="77777777" w:rsidTr="002A1784">
        <w:trPr>
          <w:tblHeader/>
        </w:trPr>
        <w:tc>
          <w:tcPr>
            <w:tcW w:w="1701" w:type="dxa"/>
            <w:tcBorders>
              <w:top w:val="single" w:sz="12" w:space="0" w:color="auto"/>
              <w:bottom w:val="single" w:sz="12" w:space="0" w:color="auto"/>
            </w:tcBorders>
            <w:tcMar>
              <w:top w:w="15" w:type="dxa"/>
              <w:left w:w="0" w:type="dxa"/>
              <w:bottom w:w="15" w:type="dxa"/>
              <w:right w:w="15" w:type="dxa"/>
            </w:tcMar>
            <w:vAlign w:val="center"/>
            <w:hideMark/>
          </w:tcPr>
          <w:p w14:paraId="7D902B95" w14:textId="77777777" w:rsidR="003675D9" w:rsidRPr="003675D9" w:rsidRDefault="003675D9" w:rsidP="002A1784">
            <w:pPr>
              <w:spacing w:line="300" w:lineRule="auto"/>
              <w:jc w:val="center"/>
              <w:rPr>
                <w:rFonts w:cs="宋体"/>
                <w:b/>
                <w:bCs/>
              </w:rPr>
            </w:pPr>
            <w:r w:rsidRPr="003675D9">
              <w:rPr>
                <w:rFonts w:cs="宋体"/>
                <w:b/>
                <w:bCs/>
              </w:rPr>
              <w:t>项目</w:t>
            </w:r>
          </w:p>
        </w:tc>
        <w:tc>
          <w:tcPr>
            <w:tcW w:w="1418" w:type="dxa"/>
            <w:tcBorders>
              <w:top w:val="single" w:sz="12" w:space="0" w:color="auto"/>
              <w:bottom w:val="single" w:sz="12" w:space="0" w:color="auto"/>
            </w:tcBorders>
            <w:vAlign w:val="center"/>
            <w:hideMark/>
          </w:tcPr>
          <w:p w14:paraId="1EE4F163" w14:textId="77777777" w:rsidR="003675D9" w:rsidRPr="003675D9" w:rsidRDefault="003675D9" w:rsidP="002A1784">
            <w:pPr>
              <w:spacing w:line="300" w:lineRule="auto"/>
              <w:jc w:val="center"/>
              <w:rPr>
                <w:rFonts w:cs="宋体"/>
                <w:b/>
                <w:bCs/>
              </w:rPr>
            </w:pPr>
            <w:r w:rsidRPr="003675D9">
              <w:rPr>
                <w:rFonts w:cs="宋体"/>
                <w:b/>
                <w:bCs/>
              </w:rPr>
              <w:t>欠薪金额</w:t>
            </w:r>
          </w:p>
        </w:tc>
        <w:tc>
          <w:tcPr>
            <w:tcW w:w="2693" w:type="dxa"/>
            <w:tcBorders>
              <w:top w:val="single" w:sz="12" w:space="0" w:color="auto"/>
              <w:bottom w:val="single" w:sz="12" w:space="0" w:color="auto"/>
            </w:tcBorders>
            <w:vAlign w:val="center"/>
            <w:hideMark/>
          </w:tcPr>
          <w:p w14:paraId="500D18FD" w14:textId="77777777" w:rsidR="003675D9" w:rsidRPr="003675D9" w:rsidRDefault="003675D9" w:rsidP="002A1784">
            <w:pPr>
              <w:spacing w:line="300" w:lineRule="auto"/>
              <w:jc w:val="center"/>
              <w:rPr>
                <w:rFonts w:cs="宋体"/>
                <w:b/>
                <w:bCs/>
              </w:rPr>
            </w:pPr>
            <w:r w:rsidRPr="003675D9">
              <w:rPr>
                <w:rFonts w:cs="宋体"/>
                <w:b/>
                <w:bCs/>
              </w:rPr>
              <w:t>违法事实</w:t>
            </w:r>
          </w:p>
        </w:tc>
        <w:tc>
          <w:tcPr>
            <w:tcW w:w="2494" w:type="dxa"/>
            <w:tcBorders>
              <w:top w:val="single" w:sz="12" w:space="0" w:color="auto"/>
              <w:bottom w:val="single" w:sz="12" w:space="0" w:color="auto"/>
            </w:tcBorders>
            <w:vAlign w:val="center"/>
            <w:hideMark/>
          </w:tcPr>
          <w:p w14:paraId="21847A54" w14:textId="77777777" w:rsidR="003675D9" w:rsidRPr="003675D9" w:rsidRDefault="003675D9" w:rsidP="002A1784">
            <w:pPr>
              <w:spacing w:line="300" w:lineRule="auto"/>
              <w:jc w:val="center"/>
              <w:rPr>
                <w:rFonts w:cs="宋体"/>
                <w:b/>
                <w:bCs/>
              </w:rPr>
            </w:pPr>
            <w:r w:rsidRPr="003675D9">
              <w:rPr>
                <w:rFonts w:cs="宋体"/>
                <w:b/>
                <w:bCs/>
              </w:rPr>
              <w:t>处理结果</w:t>
            </w:r>
          </w:p>
        </w:tc>
      </w:tr>
      <w:tr w:rsidR="002A1784" w:rsidRPr="003675D9" w14:paraId="451D7B77" w14:textId="77777777" w:rsidTr="002A1784">
        <w:tc>
          <w:tcPr>
            <w:tcW w:w="1701" w:type="dxa"/>
            <w:tcBorders>
              <w:top w:val="single" w:sz="12" w:space="0" w:color="auto"/>
              <w:bottom w:val="single" w:sz="12" w:space="0" w:color="auto"/>
            </w:tcBorders>
            <w:tcMar>
              <w:top w:w="15" w:type="dxa"/>
              <w:left w:w="0" w:type="dxa"/>
              <w:bottom w:w="15" w:type="dxa"/>
              <w:right w:w="15" w:type="dxa"/>
            </w:tcMar>
            <w:vAlign w:val="center"/>
            <w:hideMark/>
          </w:tcPr>
          <w:p w14:paraId="5B3C9AB3" w14:textId="4877E1C3" w:rsidR="003675D9" w:rsidRPr="003675D9" w:rsidRDefault="002A1784" w:rsidP="002A1784">
            <w:pPr>
              <w:spacing w:line="300" w:lineRule="auto"/>
              <w:jc w:val="center"/>
              <w:rPr>
                <w:rFonts w:cs="宋体"/>
              </w:rPr>
            </w:pPr>
            <w:r w:rsidRPr="003675D9">
              <w:rPr>
                <w:rFonts w:cs="宋体"/>
              </w:rPr>
              <w:t>2018</w:t>
            </w:r>
            <w:r w:rsidRPr="003675D9">
              <w:rPr>
                <w:rFonts w:cs="宋体"/>
              </w:rPr>
              <w:t>年</w:t>
            </w:r>
            <w:r w:rsidR="003675D9" w:rsidRPr="003675D9">
              <w:rPr>
                <w:rFonts w:cs="宋体"/>
              </w:rPr>
              <w:t>广西防城港碧桂园项目</w:t>
            </w:r>
          </w:p>
        </w:tc>
        <w:tc>
          <w:tcPr>
            <w:tcW w:w="1418" w:type="dxa"/>
            <w:tcBorders>
              <w:top w:val="single" w:sz="12" w:space="0" w:color="auto"/>
              <w:bottom w:val="single" w:sz="12" w:space="0" w:color="auto"/>
            </w:tcBorders>
            <w:vAlign w:val="center"/>
            <w:hideMark/>
          </w:tcPr>
          <w:p w14:paraId="3C247F06" w14:textId="3B2D66D8" w:rsidR="002A1784" w:rsidRDefault="003675D9" w:rsidP="002A1784">
            <w:pPr>
              <w:spacing w:line="300" w:lineRule="auto"/>
              <w:jc w:val="center"/>
              <w:rPr>
                <w:rFonts w:cs="宋体"/>
              </w:rPr>
            </w:pPr>
            <w:r w:rsidRPr="003675D9">
              <w:rPr>
                <w:rFonts w:cs="宋体"/>
              </w:rPr>
              <w:t>26</w:t>
            </w:r>
            <w:r w:rsidRPr="003675D9">
              <w:rPr>
                <w:rFonts w:cs="宋体"/>
              </w:rPr>
              <w:t>人</w:t>
            </w:r>
          </w:p>
          <w:p w14:paraId="3F07B2A6" w14:textId="49AAE51E" w:rsidR="003675D9" w:rsidRPr="003675D9" w:rsidRDefault="003675D9" w:rsidP="002A1784">
            <w:pPr>
              <w:spacing w:line="300" w:lineRule="auto"/>
              <w:jc w:val="center"/>
              <w:rPr>
                <w:rFonts w:cs="宋体"/>
              </w:rPr>
            </w:pPr>
            <w:r w:rsidRPr="003675D9">
              <w:rPr>
                <w:rFonts w:cs="宋体"/>
              </w:rPr>
              <w:t>25.65</w:t>
            </w:r>
            <w:r w:rsidRPr="003675D9">
              <w:rPr>
                <w:rFonts w:cs="宋体"/>
              </w:rPr>
              <w:t>万元</w:t>
            </w:r>
          </w:p>
        </w:tc>
        <w:tc>
          <w:tcPr>
            <w:tcW w:w="2693" w:type="dxa"/>
            <w:tcBorders>
              <w:top w:val="single" w:sz="12" w:space="0" w:color="auto"/>
              <w:bottom w:val="single" w:sz="12" w:space="0" w:color="auto"/>
            </w:tcBorders>
            <w:vAlign w:val="center"/>
            <w:hideMark/>
          </w:tcPr>
          <w:p w14:paraId="255D5A2E" w14:textId="333E6E46" w:rsidR="003675D9" w:rsidRPr="003675D9" w:rsidRDefault="003675D9" w:rsidP="002A1784">
            <w:pPr>
              <w:spacing w:line="300" w:lineRule="auto"/>
              <w:jc w:val="center"/>
              <w:rPr>
                <w:rFonts w:cs="宋体"/>
              </w:rPr>
            </w:pPr>
            <w:r w:rsidRPr="003675D9">
              <w:rPr>
                <w:rFonts w:cs="宋体"/>
              </w:rPr>
              <w:t>违法分包给无资质自然人朱某，</w:t>
            </w:r>
            <w:r w:rsidRPr="003675D9">
              <w:rPr>
                <w:rFonts w:cs="宋体"/>
              </w:rPr>
              <w:t>“</w:t>
            </w:r>
            <w:r w:rsidRPr="003675D9">
              <w:rPr>
                <w:rFonts w:cs="宋体"/>
              </w:rPr>
              <w:t>以包代管</w:t>
            </w:r>
            <w:r w:rsidRPr="003675D9">
              <w:rPr>
                <w:rFonts w:cs="宋体"/>
              </w:rPr>
              <w:t>”</w:t>
            </w:r>
            <w:r w:rsidRPr="003675D9">
              <w:rPr>
                <w:rFonts w:cs="宋体"/>
              </w:rPr>
              <w:t>未履行工资支付责任</w:t>
            </w:r>
          </w:p>
        </w:tc>
        <w:tc>
          <w:tcPr>
            <w:tcW w:w="2494" w:type="dxa"/>
            <w:tcBorders>
              <w:top w:val="single" w:sz="12" w:space="0" w:color="auto"/>
              <w:bottom w:val="single" w:sz="12" w:space="0" w:color="auto"/>
            </w:tcBorders>
            <w:vAlign w:val="center"/>
            <w:hideMark/>
          </w:tcPr>
          <w:p w14:paraId="09596251" w14:textId="6B071DA1" w:rsidR="003675D9" w:rsidRPr="003675D9" w:rsidRDefault="003675D9" w:rsidP="002A1784">
            <w:pPr>
              <w:spacing w:line="300" w:lineRule="auto"/>
              <w:jc w:val="center"/>
              <w:rPr>
                <w:rFonts w:cs="宋体"/>
              </w:rPr>
            </w:pPr>
            <w:r w:rsidRPr="003675D9">
              <w:rPr>
                <w:rFonts w:cs="宋体"/>
              </w:rPr>
              <w:t>列入广西</w:t>
            </w:r>
            <w:r w:rsidRPr="003675D9">
              <w:rPr>
                <w:rFonts w:cs="宋体"/>
              </w:rPr>
              <w:t>“</w:t>
            </w:r>
            <w:r w:rsidRPr="003675D9">
              <w:rPr>
                <w:rFonts w:cs="宋体"/>
              </w:rPr>
              <w:t>黑名单</w:t>
            </w:r>
            <w:r w:rsidRPr="003675D9">
              <w:rPr>
                <w:rFonts w:cs="宋体"/>
              </w:rPr>
              <w:t>”</w:t>
            </w:r>
            <w:r w:rsidRPr="003675D9">
              <w:rPr>
                <w:rFonts w:cs="宋体"/>
              </w:rPr>
              <w:t>，支付剩余</w:t>
            </w:r>
            <w:r w:rsidRPr="003675D9">
              <w:rPr>
                <w:rFonts w:cs="宋体"/>
              </w:rPr>
              <w:t>18.65</w:t>
            </w:r>
            <w:r w:rsidRPr="003675D9">
              <w:rPr>
                <w:rFonts w:cs="宋体"/>
              </w:rPr>
              <w:t>万元</w:t>
            </w:r>
          </w:p>
        </w:tc>
      </w:tr>
      <w:tr w:rsidR="002A1784" w:rsidRPr="003675D9" w14:paraId="3CDBF8AB" w14:textId="77777777" w:rsidTr="002A1784">
        <w:tc>
          <w:tcPr>
            <w:tcW w:w="1701" w:type="dxa"/>
            <w:tcBorders>
              <w:top w:val="single" w:sz="12" w:space="0" w:color="auto"/>
              <w:bottom w:val="single" w:sz="12" w:space="0" w:color="auto"/>
            </w:tcBorders>
            <w:tcMar>
              <w:top w:w="15" w:type="dxa"/>
              <w:left w:w="0" w:type="dxa"/>
              <w:bottom w:w="15" w:type="dxa"/>
              <w:right w:w="15" w:type="dxa"/>
            </w:tcMar>
            <w:vAlign w:val="center"/>
            <w:hideMark/>
          </w:tcPr>
          <w:p w14:paraId="17166D5C" w14:textId="17948837" w:rsidR="003675D9" w:rsidRPr="003675D9" w:rsidRDefault="002A1784" w:rsidP="002A1784">
            <w:pPr>
              <w:spacing w:line="300" w:lineRule="auto"/>
              <w:jc w:val="center"/>
              <w:rPr>
                <w:rFonts w:cs="宋体"/>
              </w:rPr>
            </w:pPr>
            <w:r w:rsidRPr="003675D9">
              <w:rPr>
                <w:rFonts w:cs="宋体"/>
              </w:rPr>
              <w:t>2022</w:t>
            </w:r>
            <w:r w:rsidRPr="003675D9">
              <w:rPr>
                <w:rFonts w:cs="宋体"/>
              </w:rPr>
              <w:t>年</w:t>
            </w:r>
            <w:r w:rsidR="003675D9" w:rsidRPr="003675D9">
              <w:rPr>
                <w:rFonts w:cs="宋体"/>
              </w:rPr>
              <w:t>辽宁阜阳碧桂园项目</w:t>
            </w:r>
          </w:p>
        </w:tc>
        <w:tc>
          <w:tcPr>
            <w:tcW w:w="1418" w:type="dxa"/>
            <w:tcBorders>
              <w:top w:val="single" w:sz="12" w:space="0" w:color="auto"/>
              <w:bottom w:val="single" w:sz="12" w:space="0" w:color="auto"/>
            </w:tcBorders>
            <w:vAlign w:val="center"/>
            <w:hideMark/>
          </w:tcPr>
          <w:p w14:paraId="63E314E7" w14:textId="549A3699" w:rsidR="002A1784" w:rsidRDefault="003675D9" w:rsidP="002A1784">
            <w:pPr>
              <w:spacing w:line="300" w:lineRule="auto"/>
              <w:jc w:val="center"/>
              <w:rPr>
                <w:rFonts w:cs="宋体"/>
              </w:rPr>
            </w:pPr>
            <w:r w:rsidRPr="003675D9">
              <w:rPr>
                <w:rFonts w:cs="宋体"/>
              </w:rPr>
              <w:t>70</w:t>
            </w:r>
            <w:r w:rsidRPr="003675D9">
              <w:rPr>
                <w:rFonts w:cs="宋体"/>
              </w:rPr>
              <w:t>人</w:t>
            </w:r>
          </w:p>
          <w:p w14:paraId="526E0FD4" w14:textId="5F29DBD3" w:rsidR="003675D9" w:rsidRPr="003675D9" w:rsidRDefault="003675D9" w:rsidP="002A1784">
            <w:pPr>
              <w:spacing w:line="300" w:lineRule="auto"/>
              <w:jc w:val="center"/>
              <w:rPr>
                <w:rFonts w:cs="宋体"/>
              </w:rPr>
            </w:pPr>
            <w:r w:rsidRPr="003675D9">
              <w:rPr>
                <w:rFonts w:cs="宋体"/>
              </w:rPr>
              <w:t>347</w:t>
            </w:r>
            <w:r w:rsidRPr="003675D9">
              <w:rPr>
                <w:rFonts w:cs="宋体"/>
              </w:rPr>
              <w:t>万元</w:t>
            </w:r>
          </w:p>
        </w:tc>
        <w:tc>
          <w:tcPr>
            <w:tcW w:w="2693" w:type="dxa"/>
            <w:tcBorders>
              <w:top w:val="single" w:sz="12" w:space="0" w:color="auto"/>
              <w:bottom w:val="single" w:sz="12" w:space="0" w:color="auto"/>
            </w:tcBorders>
            <w:vAlign w:val="center"/>
            <w:hideMark/>
          </w:tcPr>
          <w:p w14:paraId="636214B3" w14:textId="7D1938F6" w:rsidR="003675D9" w:rsidRPr="003675D9" w:rsidRDefault="003675D9" w:rsidP="002A1784">
            <w:pPr>
              <w:spacing w:line="300" w:lineRule="auto"/>
              <w:jc w:val="center"/>
              <w:rPr>
                <w:rFonts w:cs="宋体"/>
              </w:rPr>
            </w:pPr>
            <w:r w:rsidRPr="003675D9">
              <w:rPr>
                <w:rFonts w:cs="宋体"/>
              </w:rPr>
              <w:t>未设清欠小组，以</w:t>
            </w:r>
            <w:r w:rsidRPr="003675D9">
              <w:rPr>
                <w:rFonts w:cs="宋体"/>
              </w:rPr>
              <w:t>“</w:t>
            </w:r>
            <w:r w:rsidRPr="003675D9">
              <w:rPr>
                <w:rFonts w:cs="宋体"/>
              </w:rPr>
              <w:t>审批缓慢</w:t>
            </w:r>
            <w:r w:rsidRPr="003675D9">
              <w:rPr>
                <w:rFonts w:cs="宋体"/>
              </w:rPr>
              <w:t>”</w:t>
            </w:r>
            <w:r w:rsidRPr="003675D9">
              <w:rPr>
                <w:rFonts w:cs="宋体"/>
              </w:rPr>
              <w:t>拖延支付，劳务管理混乱引发群体上访</w:t>
            </w:r>
          </w:p>
        </w:tc>
        <w:tc>
          <w:tcPr>
            <w:tcW w:w="2494" w:type="dxa"/>
            <w:tcBorders>
              <w:top w:val="single" w:sz="12" w:space="0" w:color="auto"/>
              <w:bottom w:val="single" w:sz="12" w:space="0" w:color="auto"/>
            </w:tcBorders>
            <w:vAlign w:val="center"/>
            <w:hideMark/>
          </w:tcPr>
          <w:p w14:paraId="44C10B51" w14:textId="0B089A55" w:rsidR="003675D9" w:rsidRPr="003675D9" w:rsidRDefault="003675D9" w:rsidP="002A1784">
            <w:pPr>
              <w:spacing w:line="300" w:lineRule="auto"/>
              <w:jc w:val="center"/>
              <w:rPr>
                <w:rFonts w:cs="宋体"/>
              </w:rPr>
            </w:pPr>
            <w:r w:rsidRPr="003675D9">
              <w:rPr>
                <w:rFonts w:cs="宋体"/>
              </w:rPr>
              <w:t>移送公安机关，最终全额支付</w:t>
            </w:r>
          </w:p>
        </w:tc>
      </w:tr>
      <w:tr w:rsidR="002A1784" w:rsidRPr="003675D9" w14:paraId="6951E472" w14:textId="77777777" w:rsidTr="002A1784">
        <w:tc>
          <w:tcPr>
            <w:tcW w:w="1701" w:type="dxa"/>
            <w:tcBorders>
              <w:top w:val="single" w:sz="12" w:space="0" w:color="auto"/>
              <w:bottom w:val="single" w:sz="12" w:space="0" w:color="auto"/>
            </w:tcBorders>
            <w:tcMar>
              <w:top w:w="15" w:type="dxa"/>
              <w:left w:w="0" w:type="dxa"/>
              <w:bottom w:w="15" w:type="dxa"/>
              <w:right w:w="15" w:type="dxa"/>
            </w:tcMar>
            <w:vAlign w:val="center"/>
            <w:hideMark/>
          </w:tcPr>
          <w:p w14:paraId="5DDF9495" w14:textId="3F1C4072" w:rsidR="003675D9" w:rsidRPr="003675D9" w:rsidRDefault="002A1784" w:rsidP="002A1784">
            <w:pPr>
              <w:spacing w:line="300" w:lineRule="auto"/>
              <w:jc w:val="center"/>
              <w:rPr>
                <w:rFonts w:cs="宋体"/>
              </w:rPr>
            </w:pPr>
            <w:r w:rsidRPr="003675D9">
              <w:rPr>
                <w:rFonts w:cs="宋体"/>
              </w:rPr>
              <w:t>2020-2021</w:t>
            </w:r>
            <w:r w:rsidRPr="003675D9">
              <w:rPr>
                <w:rFonts w:cs="宋体"/>
              </w:rPr>
              <w:t>年</w:t>
            </w:r>
            <w:r w:rsidR="003675D9" w:rsidRPr="003675D9">
              <w:rPr>
                <w:rFonts w:cs="宋体"/>
              </w:rPr>
              <w:t>河北海兴县项目</w:t>
            </w:r>
          </w:p>
        </w:tc>
        <w:tc>
          <w:tcPr>
            <w:tcW w:w="1418" w:type="dxa"/>
            <w:tcBorders>
              <w:top w:val="single" w:sz="12" w:space="0" w:color="auto"/>
              <w:bottom w:val="single" w:sz="12" w:space="0" w:color="auto"/>
            </w:tcBorders>
            <w:vAlign w:val="center"/>
            <w:hideMark/>
          </w:tcPr>
          <w:p w14:paraId="6553F783" w14:textId="19A5C74C" w:rsidR="003675D9" w:rsidRPr="003675D9" w:rsidRDefault="003675D9" w:rsidP="002A1784">
            <w:pPr>
              <w:spacing w:line="300" w:lineRule="auto"/>
              <w:jc w:val="center"/>
              <w:rPr>
                <w:rFonts w:cs="宋体"/>
              </w:rPr>
            </w:pPr>
            <w:r w:rsidRPr="003675D9">
              <w:rPr>
                <w:rFonts w:cs="宋体"/>
              </w:rPr>
              <w:t>200</w:t>
            </w:r>
            <w:r w:rsidRPr="003675D9">
              <w:rPr>
                <w:rFonts w:cs="宋体"/>
              </w:rPr>
              <w:t>余万元</w:t>
            </w:r>
          </w:p>
        </w:tc>
        <w:tc>
          <w:tcPr>
            <w:tcW w:w="2693" w:type="dxa"/>
            <w:tcBorders>
              <w:top w:val="single" w:sz="12" w:space="0" w:color="auto"/>
              <w:bottom w:val="single" w:sz="12" w:space="0" w:color="auto"/>
            </w:tcBorders>
            <w:vAlign w:val="center"/>
            <w:hideMark/>
          </w:tcPr>
          <w:p w14:paraId="614B3F32" w14:textId="6CC2C872" w:rsidR="003675D9" w:rsidRPr="003675D9" w:rsidRDefault="003675D9" w:rsidP="002A1784">
            <w:pPr>
              <w:spacing w:line="300" w:lineRule="auto"/>
              <w:jc w:val="center"/>
              <w:rPr>
                <w:rFonts w:cs="宋体"/>
              </w:rPr>
            </w:pPr>
            <w:r w:rsidRPr="003675D9">
              <w:rPr>
                <w:rFonts w:cs="宋体"/>
              </w:rPr>
              <w:t>索要</w:t>
            </w:r>
            <w:r w:rsidRPr="003675D9">
              <w:rPr>
                <w:rFonts w:cs="宋体"/>
              </w:rPr>
              <w:t>“</w:t>
            </w:r>
            <w:r w:rsidRPr="003675D9">
              <w:rPr>
                <w:rFonts w:cs="宋体"/>
              </w:rPr>
              <w:t>红包</w:t>
            </w:r>
            <w:r w:rsidRPr="003675D9">
              <w:rPr>
                <w:rFonts w:cs="宋体"/>
              </w:rPr>
              <w:t>”</w:t>
            </w:r>
            <w:r w:rsidRPr="003675D9">
              <w:rPr>
                <w:rFonts w:cs="宋体"/>
              </w:rPr>
              <w:t>发放工资，勾结黑恶势力强占设备</w:t>
            </w:r>
          </w:p>
        </w:tc>
        <w:tc>
          <w:tcPr>
            <w:tcW w:w="2494" w:type="dxa"/>
            <w:tcBorders>
              <w:top w:val="single" w:sz="12" w:space="0" w:color="auto"/>
              <w:bottom w:val="single" w:sz="12" w:space="0" w:color="auto"/>
            </w:tcBorders>
            <w:vAlign w:val="center"/>
            <w:hideMark/>
          </w:tcPr>
          <w:p w14:paraId="1EC43C81" w14:textId="641577A2" w:rsidR="003675D9" w:rsidRPr="003675D9" w:rsidRDefault="003675D9" w:rsidP="002A1784">
            <w:pPr>
              <w:spacing w:line="300" w:lineRule="auto"/>
              <w:jc w:val="center"/>
              <w:rPr>
                <w:rFonts w:cs="宋体"/>
              </w:rPr>
            </w:pPr>
            <w:r w:rsidRPr="003675D9">
              <w:rPr>
                <w:rFonts w:cs="宋体"/>
              </w:rPr>
              <w:t>部分支付后仍拖欠</w:t>
            </w:r>
            <w:r w:rsidRPr="003675D9">
              <w:rPr>
                <w:rFonts w:cs="宋体"/>
              </w:rPr>
              <w:t>16</w:t>
            </w:r>
            <w:r w:rsidRPr="003675D9">
              <w:rPr>
                <w:rFonts w:cs="宋体"/>
              </w:rPr>
              <w:t>万元，涉嫌刑事犯罪</w:t>
            </w:r>
          </w:p>
        </w:tc>
      </w:tr>
      <w:tr w:rsidR="002A1784" w:rsidRPr="003675D9" w14:paraId="2E119E6F" w14:textId="77777777" w:rsidTr="002A1784">
        <w:tc>
          <w:tcPr>
            <w:tcW w:w="1701" w:type="dxa"/>
            <w:tcBorders>
              <w:top w:val="single" w:sz="12" w:space="0" w:color="auto"/>
              <w:bottom w:val="single" w:sz="12" w:space="0" w:color="auto"/>
            </w:tcBorders>
            <w:tcMar>
              <w:top w:w="15" w:type="dxa"/>
              <w:left w:w="0" w:type="dxa"/>
              <w:bottom w:w="15" w:type="dxa"/>
              <w:right w:w="15" w:type="dxa"/>
            </w:tcMar>
            <w:vAlign w:val="center"/>
            <w:hideMark/>
          </w:tcPr>
          <w:p w14:paraId="05B5E37A" w14:textId="4413D8FB" w:rsidR="003675D9" w:rsidRPr="003675D9" w:rsidRDefault="002A1784" w:rsidP="002A1784">
            <w:pPr>
              <w:spacing w:line="300" w:lineRule="auto"/>
              <w:jc w:val="center"/>
              <w:rPr>
                <w:rFonts w:cs="宋体"/>
              </w:rPr>
            </w:pPr>
            <w:r w:rsidRPr="003675D9">
              <w:rPr>
                <w:rFonts w:cs="宋体"/>
              </w:rPr>
              <w:t>2024</w:t>
            </w:r>
            <w:r w:rsidRPr="003675D9">
              <w:rPr>
                <w:rFonts w:cs="宋体"/>
              </w:rPr>
              <w:t>年</w:t>
            </w:r>
            <w:r w:rsidR="003675D9" w:rsidRPr="003675D9">
              <w:rPr>
                <w:rFonts w:cs="宋体"/>
              </w:rPr>
              <w:t>沈阳于洪区项目</w:t>
            </w:r>
          </w:p>
        </w:tc>
        <w:tc>
          <w:tcPr>
            <w:tcW w:w="1418" w:type="dxa"/>
            <w:tcBorders>
              <w:top w:val="single" w:sz="12" w:space="0" w:color="auto"/>
              <w:bottom w:val="single" w:sz="12" w:space="0" w:color="auto"/>
            </w:tcBorders>
            <w:vAlign w:val="center"/>
            <w:hideMark/>
          </w:tcPr>
          <w:p w14:paraId="1ED7B728" w14:textId="77777777" w:rsidR="002A1784" w:rsidRDefault="003675D9" w:rsidP="002A1784">
            <w:pPr>
              <w:spacing w:line="300" w:lineRule="auto"/>
              <w:jc w:val="center"/>
              <w:rPr>
                <w:rFonts w:cs="宋体"/>
              </w:rPr>
            </w:pPr>
            <w:r w:rsidRPr="003675D9">
              <w:rPr>
                <w:rFonts w:cs="宋体"/>
              </w:rPr>
              <w:t>151</w:t>
            </w:r>
            <w:r w:rsidRPr="003675D9">
              <w:rPr>
                <w:rFonts w:cs="宋体"/>
              </w:rPr>
              <w:t>人</w:t>
            </w:r>
          </w:p>
          <w:p w14:paraId="2DE46EAD" w14:textId="7D0408EF" w:rsidR="003675D9" w:rsidRPr="003675D9" w:rsidRDefault="003675D9" w:rsidP="002A1784">
            <w:pPr>
              <w:spacing w:line="300" w:lineRule="auto"/>
              <w:jc w:val="center"/>
              <w:rPr>
                <w:rFonts w:cs="宋体"/>
              </w:rPr>
            </w:pPr>
            <w:r w:rsidRPr="003675D9">
              <w:rPr>
                <w:rFonts w:cs="宋体"/>
              </w:rPr>
              <w:t>312.57</w:t>
            </w:r>
            <w:r w:rsidRPr="003675D9">
              <w:rPr>
                <w:rFonts w:cs="宋体"/>
              </w:rPr>
              <w:t>万元</w:t>
            </w:r>
          </w:p>
        </w:tc>
        <w:tc>
          <w:tcPr>
            <w:tcW w:w="2693" w:type="dxa"/>
            <w:tcBorders>
              <w:top w:val="single" w:sz="12" w:space="0" w:color="auto"/>
              <w:bottom w:val="single" w:sz="12" w:space="0" w:color="auto"/>
            </w:tcBorders>
            <w:vAlign w:val="center"/>
            <w:hideMark/>
          </w:tcPr>
          <w:p w14:paraId="2F76B4E5" w14:textId="7FAF10C0" w:rsidR="003675D9" w:rsidRPr="003675D9" w:rsidRDefault="003675D9" w:rsidP="002A1784">
            <w:pPr>
              <w:spacing w:line="300" w:lineRule="auto"/>
              <w:jc w:val="center"/>
              <w:rPr>
                <w:rFonts w:cs="宋体"/>
              </w:rPr>
            </w:pPr>
            <w:r w:rsidRPr="003675D9">
              <w:rPr>
                <w:rFonts w:cs="宋体"/>
              </w:rPr>
              <w:t>未落实工资专户，实名制管理失效，逾期未支付</w:t>
            </w:r>
          </w:p>
        </w:tc>
        <w:tc>
          <w:tcPr>
            <w:tcW w:w="2494" w:type="dxa"/>
            <w:tcBorders>
              <w:top w:val="single" w:sz="12" w:space="0" w:color="auto"/>
              <w:bottom w:val="single" w:sz="12" w:space="0" w:color="auto"/>
            </w:tcBorders>
            <w:vAlign w:val="center"/>
            <w:hideMark/>
          </w:tcPr>
          <w:p w14:paraId="78068B0E" w14:textId="269B6A01" w:rsidR="003675D9" w:rsidRPr="003675D9" w:rsidRDefault="003675D9" w:rsidP="002A1784">
            <w:pPr>
              <w:spacing w:line="300" w:lineRule="auto"/>
              <w:jc w:val="center"/>
              <w:rPr>
                <w:rFonts w:cs="宋体"/>
              </w:rPr>
            </w:pPr>
            <w:r w:rsidRPr="003675D9">
              <w:rPr>
                <w:rFonts w:cs="宋体"/>
              </w:rPr>
              <w:t>以</w:t>
            </w:r>
            <w:r w:rsidRPr="003675D9">
              <w:rPr>
                <w:rFonts w:cs="宋体"/>
              </w:rPr>
              <w:t>“</w:t>
            </w:r>
            <w:r w:rsidRPr="003675D9">
              <w:rPr>
                <w:rFonts w:cs="宋体"/>
              </w:rPr>
              <w:t>拒不支付劳动报酬罪</w:t>
            </w:r>
            <w:r w:rsidRPr="003675D9">
              <w:rPr>
                <w:rFonts w:cs="宋体"/>
              </w:rPr>
              <w:t>”</w:t>
            </w:r>
            <w:r w:rsidRPr="003675D9">
              <w:rPr>
                <w:rFonts w:cs="宋体"/>
              </w:rPr>
              <w:t>移送公安机关</w:t>
            </w:r>
          </w:p>
        </w:tc>
      </w:tr>
    </w:tbl>
    <w:p w14:paraId="0888E8CD" w14:textId="0456E9B9" w:rsidR="004D0BEA" w:rsidRDefault="00000000" w:rsidP="002F66C6">
      <w:pPr>
        <w:pStyle w:val="a0"/>
        <w:spacing w:before="156"/>
      </w:pPr>
      <w:bookmarkStart w:id="21" w:name="_Toc194005787"/>
      <w:r>
        <w:rPr>
          <w:rFonts w:hint="eastAsia"/>
        </w:rPr>
        <w:t>原因分析</w:t>
      </w:r>
      <w:bookmarkEnd w:id="21"/>
    </w:p>
    <w:p w14:paraId="0757BB85" w14:textId="77777777" w:rsidR="004D0BEA" w:rsidRDefault="00000000">
      <w:pPr>
        <w:ind w:firstLineChars="200" w:firstLine="482"/>
        <w:jc w:val="left"/>
        <w:rPr>
          <w:rFonts w:ascii="宋体" w:hAnsi="宋体" w:cs="宋体" w:hint="eastAsia"/>
          <w:b/>
          <w:bCs/>
        </w:rPr>
      </w:pPr>
      <w:r>
        <w:rPr>
          <w:rFonts w:ascii="宋体" w:hAnsi="宋体" w:cs="宋体" w:hint="eastAsia"/>
          <w:b/>
          <w:bCs/>
        </w:rPr>
        <w:t>（1）违法分包与“以包代管”：</w:t>
      </w:r>
    </w:p>
    <w:p w14:paraId="2DBF7AF4" w14:textId="67DA81FE" w:rsidR="002A1784" w:rsidRDefault="002A1784" w:rsidP="002A1784">
      <w:pPr>
        <w:ind w:firstLineChars="200" w:firstLine="480"/>
        <w:jc w:val="left"/>
        <w:rPr>
          <w:rFonts w:ascii="宋体" w:hAnsi="宋体" w:cs="宋体" w:hint="eastAsia"/>
        </w:rPr>
      </w:pPr>
      <w:r>
        <w:rPr>
          <w:rFonts w:ascii="宋体" w:hAnsi="宋体" w:cs="宋体" w:hint="eastAsia"/>
        </w:rPr>
        <w:t>依据</w:t>
      </w:r>
      <w:r w:rsidRPr="002A1784">
        <w:rPr>
          <w:rFonts w:ascii="宋体" w:hAnsi="宋体" w:cs="宋体" w:hint="eastAsia"/>
        </w:rPr>
        <w:t>《保障农民工工资支付条例》第三十条：总包单位对分包单位工资支付负总责，禁止分包给无资质主体。</w:t>
      </w:r>
      <w:r>
        <w:rPr>
          <w:rFonts w:ascii="宋体" w:hAnsi="宋体" w:cs="宋体" w:hint="eastAsia"/>
        </w:rPr>
        <w:t>以及</w:t>
      </w:r>
      <w:r w:rsidRPr="002A1784">
        <w:rPr>
          <w:rFonts w:ascii="宋体" w:hAnsi="宋体" w:cs="宋体" w:hint="eastAsia"/>
        </w:rPr>
        <w:t>《建筑法》第二十九条：禁止将工程分包给不具备相应资质的单位或个人。</w:t>
      </w:r>
    </w:p>
    <w:p w14:paraId="4BC195E3" w14:textId="2B9001A2" w:rsidR="004D0BEA" w:rsidRDefault="002A1784" w:rsidP="002A1784">
      <w:pPr>
        <w:ind w:firstLineChars="200" w:firstLine="480"/>
        <w:jc w:val="left"/>
        <w:rPr>
          <w:rFonts w:ascii="宋体" w:hAnsi="宋体" w:cs="宋体" w:hint="eastAsia"/>
        </w:rPr>
      </w:pPr>
      <w:r w:rsidRPr="002A1784">
        <w:rPr>
          <w:rFonts w:ascii="宋体" w:hAnsi="宋体" w:cs="宋体" w:hint="eastAsia"/>
        </w:rPr>
        <w:t>腾越公司通过分包给无资质的自然人（如朱某），降低用工成本，</w:t>
      </w:r>
      <w:r w:rsidRPr="00890D8B">
        <w:rPr>
          <w:rFonts w:ascii="宋体" w:hAnsi="宋体" w:cs="宋体" w:hint="eastAsia"/>
          <w:b/>
          <w:bCs/>
        </w:rPr>
        <w:t>规避社保、工伤保险</w:t>
      </w:r>
      <w:r w:rsidRPr="002A1784">
        <w:rPr>
          <w:rFonts w:ascii="宋体" w:hAnsi="宋体" w:cs="宋体" w:hint="eastAsia"/>
        </w:rPr>
        <w:t>等法定义务。以“包工头代发工资”为由推卸支付责任，但</w:t>
      </w:r>
      <w:r w:rsidRPr="00890D8B">
        <w:rPr>
          <w:rFonts w:ascii="宋体" w:hAnsi="宋体" w:cs="宋体" w:hint="eastAsia"/>
          <w:b/>
          <w:bCs/>
        </w:rPr>
        <w:t>未监督资金流向</w:t>
      </w:r>
      <w:r w:rsidRPr="002A1784">
        <w:rPr>
          <w:rFonts w:ascii="宋体" w:hAnsi="宋体" w:cs="宋体" w:hint="eastAsia"/>
        </w:rPr>
        <w:t>，导致工资被截留（如广西项目仅支付18.65万元）。建筑行业普遍存在“</w:t>
      </w:r>
      <w:r w:rsidRPr="00890D8B">
        <w:rPr>
          <w:rFonts w:ascii="宋体" w:hAnsi="宋体" w:cs="宋体" w:hint="eastAsia"/>
          <w:b/>
          <w:bCs/>
        </w:rPr>
        <w:t>层层转包</w:t>
      </w:r>
      <w:r w:rsidRPr="002A1784">
        <w:rPr>
          <w:rFonts w:ascii="宋体" w:hAnsi="宋体" w:cs="宋体" w:hint="eastAsia"/>
        </w:rPr>
        <w:t>”现象，总包单位通过分包转移风险，形成“总包-分包-包工头-农民工”灰色链条。</w:t>
      </w:r>
      <w:r>
        <w:rPr>
          <w:rFonts w:ascii="宋体" w:hAnsi="宋体" w:cs="宋体" w:hint="eastAsia"/>
        </w:rPr>
        <w:t>。</w:t>
      </w:r>
    </w:p>
    <w:p w14:paraId="5CA0049F" w14:textId="77777777" w:rsidR="004D0BEA" w:rsidRDefault="00000000">
      <w:pPr>
        <w:ind w:firstLineChars="200" w:firstLine="482"/>
        <w:jc w:val="left"/>
        <w:rPr>
          <w:rFonts w:ascii="宋体" w:hAnsi="宋体" w:cs="宋体" w:hint="eastAsia"/>
          <w:b/>
          <w:bCs/>
        </w:rPr>
      </w:pPr>
      <w:r>
        <w:rPr>
          <w:rFonts w:ascii="宋体" w:hAnsi="宋体" w:cs="宋体" w:hint="eastAsia"/>
          <w:b/>
          <w:bCs/>
        </w:rPr>
        <w:t>（2）资金链问题与恶意拖欠：</w:t>
      </w:r>
    </w:p>
    <w:p w14:paraId="661F26B8" w14:textId="75DEFA92" w:rsidR="002A1784" w:rsidRPr="002A1784" w:rsidRDefault="002A1784" w:rsidP="002A1784">
      <w:pPr>
        <w:ind w:firstLineChars="200" w:firstLine="480"/>
        <w:jc w:val="left"/>
        <w:rPr>
          <w:rFonts w:ascii="宋体" w:hAnsi="宋体" w:cs="宋体" w:hint="eastAsia"/>
        </w:rPr>
      </w:pPr>
      <w:r>
        <w:rPr>
          <w:rFonts w:ascii="宋体" w:hAnsi="宋体" w:cs="宋体" w:hint="eastAsia"/>
        </w:rPr>
        <w:t>依据</w:t>
      </w:r>
      <w:r w:rsidRPr="002A1784">
        <w:rPr>
          <w:rFonts w:ascii="宋体" w:hAnsi="宋体" w:cs="宋体" w:hint="eastAsia"/>
        </w:rPr>
        <w:t>《刑法》第二百七十六条之一：拒不支付劳动报酬罪，明确“转移财产、逃匿”等行为可处三年以下有期徒刑。</w:t>
      </w:r>
    </w:p>
    <w:p w14:paraId="3DA4E74F" w14:textId="5FA1CD2D" w:rsidR="002A1784" w:rsidRDefault="002A1784" w:rsidP="002A1784">
      <w:pPr>
        <w:ind w:firstLineChars="200" w:firstLine="480"/>
        <w:jc w:val="left"/>
        <w:rPr>
          <w:rFonts w:ascii="宋体" w:hAnsi="宋体" w:cs="宋体" w:hint="eastAsia"/>
        </w:rPr>
      </w:pPr>
      <w:r w:rsidRPr="002A1784">
        <w:rPr>
          <w:rFonts w:ascii="宋体" w:hAnsi="宋体" w:cs="宋体" w:hint="eastAsia"/>
        </w:rPr>
        <w:t>建筑行业普遍采用“</w:t>
      </w:r>
      <w:r w:rsidRPr="00890D8B">
        <w:rPr>
          <w:rFonts w:ascii="宋体" w:hAnsi="宋体" w:cs="宋体" w:hint="eastAsia"/>
          <w:b/>
          <w:bCs/>
        </w:rPr>
        <w:t>先施工后付款</w:t>
      </w:r>
      <w:r w:rsidRPr="002A1784">
        <w:rPr>
          <w:rFonts w:ascii="宋体" w:hAnsi="宋体" w:cs="宋体" w:hint="eastAsia"/>
        </w:rPr>
        <w:t>”模式，总包方垫资压力大，工程款延</w:t>
      </w:r>
      <w:r w:rsidRPr="002A1784">
        <w:rPr>
          <w:rFonts w:ascii="宋体" w:hAnsi="宋体" w:cs="宋体" w:hint="eastAsia"/>
        </w:rPr>
        <w:lastRenderedPageBreak/>
        <w:t>迟导致工资拖欠（如辽宁项目因“审批慢”拖欠347万元）。河北海兴县项目要求农民工支付“红包”才发放工资，实质是将工资作为“勒索工具”，涉嫌</w:t>
      </w:r>
      <w:r w:rsidRPr="002A1784">
        <w:rPr>
          <w:rFonts w:ascii="宋体" w:hAnsi="宋体" w:cs="宋体" w:hint="eastAsia"/>
          <w:b/>
          <w:bCs/>
        </w:rPr>
        <w:t>敲诈勒索罪</w:t>
      </w:r>
      <w:r w:rsidRPr="002A1784">
        <w:rPr>
          <w:rFonts w:ascii="宋体" w:hAnsi="宋体" w:cs="宋体" w:hint="eastAsia"/>
        </w:rPr>
        <w:t>。未设立农民工工资专户，工程款与工资混同，优先支付材料款、设备租金，</w:t>
      </w:r>
      <w:r w:rsidRPr="00890D8B">
        <w:rPr>
          <w:rFonts w:ascii="宋体" w:hAnsi="宋体" w:cs="宋体" w:hint="eastAsia"/>
          <w:b/>
          <w:bCs/>
        </w:rPr>
        <w:t>挤压农民工工资空间</w:t>
      </w:r>
      <w:r w:rsidRPr="002A1784">
        <w:rPr>
          <w:rFonts w:ascii="宋体" w:hAnsi="宋体" w:cs="宋体" w:hint="eastAsia"/>
        </w:rPr>
        <w:t>。</w:t>
      </w:r>
    </w:p>
    <w:p w14:paraId="45A9F55A" w14:textId="77777777" w:rsidR="004D0BEA" w:rsidRDefault="00000000">
      <w:pPr>
        <w:ind w:firstLineChars="200" w:firstLine="482"/>
        <w:jc w:val="left"/>
        <w:rPr>
          <w:rFonts w:ascii="宋体" w:hAnsi="宋体" w:cs="宋体" w:hint="eastAsia"/>
          <w:b/>
          <w:bCs/>
        </w:rPr>
      </w:pPr>
      <w:r>
        <w:rPr>
          <w:rFonts w:ascii="宋体" w:hAnsi="宋体" w:cs="宋体" w:hint="eastAsia"/>
          <w:b/>
          <w:bCs/>
        </w:rPr>
        <w:t>（3）管理混乱与逃避责任：</w:t>
      </w:r>
    </w:p>
    <w:p w14:paraId="3595053F" w14:textId="064808E8" w:rsidR="00890D8B" w:rsidRPr="00890D8B" w:rsidRDefault="00890D8B" w:rsidP="00890D8B">
      <w:pPr>
        <w:ind w:firstLineChars="200" w:firstLine="480"/>
        <w:jc w:val="left"/>
        <w:rPr>
          <w:rFonts w:ascii="宋体" w:hAnsi="宋体" w:cs="宋体" w:hint="eastAsia"/>
        </w:rPr>
      </w:pPr>
      <w:r>
        <w:rPr>
          <w:rFonts w:ascii="宋体" w:hAnsi="宋体" w:cs="宋体" w:hint="eastAsia"/>
        </w:rPr>
        <w:t>依据</w:t>
      </w:r>
      <w:r w:rsidRPr="00890D8B">
        <w:rPr>
          <w:rFonts w:ascii="宋体" w:hAnsi="宋体" w:cs="宋体" w:hint="eastAsia"/>
        </w:rPr>
        <w:t>《工程建设领域农民工工资专用账户管理暂行办法》第五条：总包单位需开设工资专户，实行银行代发工资。</w:t>
      </w:r>
      <w:r>
        <w:rPr>
          <w:rFonts w:ascii="宋体" w:hAnsi="宋体" w:cs="宋体" w:hint="eastAsia"/>
        </w:rPr>
        <w:t>以及</w:t>
      </w:r>
      <w:r w:rsidRPr="00890D8B">
        <w:rPr>
          <w:rFonts w:ascii="宋体" w:hAnsi="宋体" w:cs="宋体" w:hint="eastAsia"/>
        </w:rPr>
        <w:t>《劳动保障监察条例》第三十条：拒不履行劳动监察指令可处2万元以上罚款。</w:t>
      </w:r>
    </w:p>
    <w:p w14:paraId="434426D2" w14:textId="1D7C90A6" w:rsidR="00890D8B" w:rsidRDefault="00890D8B" w:rsidP="00890D8B">
      <w:pPr>
        <w:ind w:firstLineChars="200" w:firstLine="482"/>
        <w:jc w:val="left"/>
        <w:rPr>
          <w:rFonts w:ascii="宋体" w:hAnsi="宋体" w:cs="宋体" w:hint="eastAsia"/>
        </w:rPr>
      </w:pPr>
      <w:r w:rsidRPr="00890D8B">
        <w:rPr>
          <w:rFonts w:ascii="宋体" w:hAnsi="宋体" w:cs="宋体" w:hint="eastAsia"/>
          <w:b/>
          <w:bCs/>
        </w:rPr>
        <w:t>实名制管理形同虚设：</w:t>
      </w:r>
      <w:r w:rsidRPr="00890D8B">
        <w:rPr>
          <w:rFonts w:ascii="宋体" w:hAnsi="宋体" w:cs="宋体" w:hint="eastAsia"/>
        </w:rPr>
        <w:t>未登记农民工考勤、工种信息，工资结算仅凭“包工头”口头承诺（如沈阳项目拖欠151人工资）。</w:t>
      </w:r>
      <w:r w:rsidRPr="00890D8B">
        <w:rPr>
          <w:rFonts w:ascii="宋体" w:hAnsi="宋体" w:cs="宋体" w:hint="eastAsia"/>
          <w:b/>
          <w:bCs/>
        </w:rPr>
        <w:t>财务制度混乱：</w:t>
      </w:r>
      <w:r w:rsidRPr="00890D8B">
        <w:rPr>
          <w:rFonts w:ascii="宋体" w:hAnsi="宋体" w:cs="宋体" w:hint="eastAsia"/>
        </w:rPr>
        <w:t>无工资支付台账，无法追溯发放记录，为拖欠行为提供操作空间。</w:t>
      </w:r>
      <w:r w:rsidRPr="00890D8B">
        <w:rPr>
          <w:rFonts w:ascii="宋体" w:hAnsi="宋体" w:cs="宋体" w:hint="eastAsia"/>
          <w:b/>
          <w:bCs/>
        </w:rPr>
        <w:t>对抗监管：</w:t>
      </w:r>
      <w:r w:rsidRPr="00890D8B">
        <w:rPr>
          <w:rFonts w:ascii="宋体" w:hAnsi="宋体" w:cs="宋体" w:hint="eastAsia"/>
        </w:rPr>
        <w:t>多地劳动监察部门下达《限期整改指令书》后，腾越公司逾期未整改（如广西、河北项目），甚至拒绝提供财务资料。</w:t>
      </w:r>
    </w:p>
    <w:p w14:paraId="5607F194" w14:textId="77777777" w:rsidR="004D0BEA" w:rsidRDefault="00000000">
      <w:pPr>
        <w:ind w:firstLineChars="200" w:firstLine="482"/>
        <w:rPr>
          <w:rFonts w:ascii="宋体" w:hAnsi="宋体" w:cs="宋体" w:hint="eastAsia"/>
          <w:b/>
          <w:bCs/>
        </w:rPr>
      </w:pPr>
      <w:r>
        <w:rPr>
          <w:rFonts w:ascii="宋体" w:hAnsi="宋体" w:cs="宋体" w:hint="eastAsia"/>
          <w:b/>
          <w:bCs/>
        </w:rPr>
        <w:t>（4）法律惩戒力度不足：</w:t>
      </w:r>
    </w:p>
    <w:p w14:paraId="09CB9EE0" w14:textId="33E08583" w:rsidR="004D0BEA" w:rsidRDefault="00890D8B" w:rsidP="00890D8B">
      <w:pPr>
        <w:ind w:firstLineChars="200" w:firstLine="482"/>
        <w:jc w:val="left"/>
        <w:rPr>
          <w:rFonts w:ascii="宋体" w:hAnsi="宋体" w:cs="宋体" w:hint="eastAsia"/>
        </w:rPr>
      </w:pPr>
      <w:r w:rsidRPr="00890D8B">
        <w:rPr>
          <w:rFonts w:ascii="宋体" w:hAnsi="宋体" w:cs="宋体" w:hint="eastAsia"/>
          <w:b/>
          <w:bCs/>
        </w:rPr>
        <w:t>“黑名单”威慑有限：</w:t>
      </w:r>
      <w:r w:rsidRPr="00890D8B">
        <w:rPr>
          <w:rFonts w:ascii="宋体" w:hAnsi="宋体" w:cs="宋体" w:hint="eastAsia"/>
        </w:rPr>
        <w:t>尽管被列入多地“黑名单”，但企业仍可通过更换法人、注册新公司继续承接项目（如腾越公司2024年仍在沈阳中标新项目）。</w:t>
      </w:r>
      <w:r w:rsidRPr="00890D8B">
        <w:rPr>
          <w:rFonts w:ascii="宋体" w:hAnsi="宋体" w:cs="宋体" w:hint="eastAsia"/>
          <w:b/>
          <w:bCs/>
        </w:rPr>
        <w:t>行刑衔接不畅：</w:t>
      </w:r>
      <w:r w:rsidRPr="00890D8B">
        <w:rPr>
          <w:rFonts w:ascii="宋体" w:hAnsi="宋体" w:cs="宋体" w:hint="eastAsia"/>
        </w:rPr>
        <w:t>劳动监察部门移送公安机关的案件中，实际负责人长期未被追责（如李某2025年才被抓获），导致企业心存侥幸。</w:t>
      </w:r>
      <w:r w:rsidRPr="00890D8B">
        <w:rPr>
          <w:rFonts w:ascii="宋体" w:hAnsi="宋体" w:cs="宋体" w:hint="eastAsia"/>
          <w:b/>
          <w:bCs/>
        </w:rPr>
        <w:t>跨区域执法困难：</w:t>
      </w:r>
      <w:r w:rsidRPr="00890D8B">
        <w:rPr>
          <w:rFonts w:ascii="宋体" w:hAnsi="宋体" w:cs="宋体" w:hint="eastAsia"/>
        </w:rPr>
        <w:t>腾越公司在广西、辽宁等多地违法，但各地执法信息未共享，未能形成联合惩戒。</w:t>
      </w:r>
    </w:p>
    <w:p w14:paraId="3DB65498" w14:textId="1CFC2AF8" w:rsidR="004D0BEA" w:rsidRDefault="00000000" w:rsidP="002F66C6">
      <w:pPr>
        <w:pStyle w:val="a0"/>
        <w:spacing w:before="156"/>
      </w:pPr>
      <w:bookmarkStart w:id="22" w:name="_Toc194005788"/>
      <w:r>
        <w:rPr>
          <w:rFonts w:hint="eastAsia"/>
        </w:rPr>
        <w:t>反思与警示</w:t>
      </w:r>
      <w:bookmarkEnd w:id="22"/>
    </w:p>
    <w:p w14:paraId="16D82669" w14:textId="46BF9D2D" w:rsidR="004D0BEA" w:rsidRDefault="00000000" w:rsidP="002F66C6">
      <w:pPr>
        <w:pStyle w:val="3"/>
      </w:pPr>
      <w:bookmarkStart w:id="23" w:name="_Toc194005789"/>
      <w:r>
        <w:t>企业层面</w:t>
      </w:r>
      <w:bookmarkEnd w:id="23"/>
    </w:p>
    <w:p w14:paraId="7D463FCA" w14:textId="77777777" w:rsidR="004D0BEA" w:rsidRDefault="00000000">
      <w:pPr>
        <w:ind w:firstLine="420"/>
      </w:pPr>
      <w:r>
        <w:rPr>
          <w:rFonts w:ascii="宋体" w:hAnsi="宋体" w:cs="宋体" w:hint="eastAsia"/>
          <w:b/>
          <w:bCs/>
          <w:szCs w:val="24"/>
        </w:rPr>
        <w:t>（1）</w:t>
      </w:r>
      <w:r>
        <w:rPr>
          <w:rFonts w:ascii="宋体" w:hAnsi="宋体" w:cs="宋体"/>
          <w:b/>
          <w:bCs/>
          <w:szCs w:val="24"/>
        </w:rPr>
        <w:t>保障农民工工资支付的重要性:</w:t>
      </w:r>
      <w:r>
        <w:rPr>
          <w:rFonts w:ascii="宋体" w:hAnsi="宋体" w:cs="宋体"/>
          <w:szCs w:val="24"/>
        </w:rPr>
        <w:t>沈阳腾越建筑工程有限公司多次拖欠农民工工资，反映出企业对保障农民工工资支付的重要性认识不足。农民工工资是其劳动报酬，直接关系到农民工及其家庭的基本生活。企业应充分认识到按时足额支付农民工工资是其应尽的法律责任和社会义务，是维护社会稳定和企业良好形象的重要举措。</w:t>
      </w:r>
    </w:p>
    <w:p w14:paraId="0B0A2AB0" w14:textId="77777777" w:rsidR="004D0BEA" w:rsidRDefault="00000000">
      <w:pPr>
        <w:ind w:firstLine="420"/>
        <w:rPr>
          <w:rFonts w:ascii="宋体" w:hAnsi="宋体" w:cs="宋体" w:hint="eastAsia"/>
        </w:rPr>
      </w:pPr>
      <w:r>
        <w:rPr>
          <w:rFonts w:ascii="宋体" w:hAnsi="宋体" w:cs="宋体" w:hint="eastAsia"/>
          <w:b/>
          <w:bCs/>
        </w:rPr>
        <w:t>（2）加强企业内部管理：</w:t>
      </w:r>
      <w:r>
        <w:rPr>
          <w:rFonts w:ascii="宋体" w:hAnsi="宋体" w:cs="宋体" w:hint="eastAsia"/>
        </w:rPr>
        <w:t>企业应建立健全内部管理制度，加强对工程分包的监管，避免将工程分包给不具备用工资格的自然人或单位，明确工资支付责任主体。同时，要规范财务管理，确保工程款专款专用，避免因资金链问题导致工资</w:t>
      </w:r>
      <w:r>
        <w:rPr>
          <w:rFonts w:ascii="宋体" w:hAnsi="宋体" w:cs="宋体" w:hint="eastAsia"/>
        </w:rPr>
        <w:lastRenderedPageBreak/>
        <w:t>拖欠。此外，企业还应加强项目管理，合理安排施工进度和资金使用，防止因管理混乱引发的工资拖欠问题。</w:t>
      </w:r>
    </w:p>
    <w:p w14:paraId="2014509F" w14:textId="77777777" w:rsidR="004D0BEA" w:rsidRDefault="00000000">
      <w:pPr>
        <w:ind w:firstLine="420"/>
        <w:rPr>
          <w:rFonts w:ascii="宋体" w:hAnsi="宋体" w:cs="宋体" w:hint="eastAsia"/>
        </w:rPr>
      </w:pPr>
      <w:r>
        <w:rPr>
          <w:rFonts w:ascii="宋体" w:hAnsi="宋体" w:cs="宋体" w:hint="eastAsia"/>
          <w:b/>
          <w:bCs/>
        </w:rPr>
        <w:t>（3）增强法律意识和风险防范能力：</w:t>
      </w:r>
      <w:r>
        <w:rPr>
          <w:rFonts w:ascii="宋体" w:hAnsi="宋体" w:cs="宋体" w:hint="eastAsia"/>
        </w:rPr>
        <w:t>企业应加强法律法规学习，提高法律意识，自觉遵守劳动保障法律法规，避免因违法分包、拖欠工资等行为而面临法律风险。同时，企业还应建立健全风险防范机制，加强对项目风险的评估和监控，及时发现和解决潜在的问题，降低经营风险。</w:t>
      </w:r>
    </w:p>
    <w:p w14:paraId="43566619" w14:textId="3C7ED53E" w:rsidR="004D0BEA" w:rsidRDefault="00000000" w:rsidP="002F66C6">
      <w:pPr>
        <w:pStyle w:val="3"/>
      </w:pPr>
      <w:bookmarkStart w:id="24" w:name="_Toc194005790"/>
      <w:r>
        <w:rPr>
          <w:rFonts w:hint="eastAsia"/>
        </w:rPr>
        <w:t>监管部门层面</w:t>
      </w:r>
      <w:bookmarkEnd w:id="24"/>
    </w:p>
    <w:p w14:paraId="6497A9B1" w14:textId="55A005D2" w:rsidR="004D0BEA" w:rsidRDefault="00000000">
      <w:pPr>
        <w:ind w:firstLine="420"/>
        <w:rPr>
          <w:rFonts w:ascii="宋体" w:hAnsi="宋体" w:cs="宋体" w:hint="eastAsia"/>
        </w:rPr>
      </w:pPr>
      <w:r>
        <w:rPr>
          <w:rFonts w:ascii="宋体" w:hAnsi="宋体" w:cs="宋体" w:hint="eastAsia"/>
          <w:b/>
          <w:bCs/>
        </w:rPr>
        <w:t>（1）加强监管力度：</w:t>
      </w:r>
      <w:r>
        <w:rPr>
          <w:rFonts w:ascii="宋体" w:hAnsi="宋体" w:cs="宋体" w:hint="eastAsia"/>
        </w:rPr>
        <w:t>监管部门应加强对建筑企业的日常监管，加大对拖欠农民工工资行为的查处力度，对违法企业依法依规进行处罚，提高企业的违法成本。同时，要建立健全信用体系，将企业拖欠工资等不良行为纳入信用记录，对失信企业进行联合惩戒，限制其市场准入和经营活动，促使企业自觉遵守劳动保障法律法规。</w:t>
      </w:r>
    </w:p>
    <w:p w14:paraId="2955D89F" w14:textId="770C2EBD" w:rsidR="004D0BEA" w:rsidRDefault="00000000">
      <w:pPr>
        <w:ind w:firstLine="420"/>
        <w:rPr>
          <w:rFonts w:ascii="宋体" w:hAnsi="宋体" w:cs="宋体" w:hint="eastAsia"/>
        </w:rPr>
      </w:pPr>
      <w:r>
        <w:rPr>
          <w:rFonts w:ascii="宋体" w:hAnsi="宋体" w:cs="宋体" w:hint="eastAsia"/>
          <w:b/>
          <w:bCs/>
        </w:rPr>
        <w:t>（2）完善法律法规和政策制度：</w:t>
      </w:r>
      <w:r>
        <w:rPr>
          <w:rFonts w:ascii="宋体" w:hAnsi="宋体" w:cs="宋体" w:hint="eastAsia"/>
        </w:rPr>
        <w:t>监管部门应进一步完善劳动保障法律法规和政策制度，明确企业、农民工、总承包单位等各方在工资支付中的权利和义务，规范工程分包和劳务用工行为，为保障农民工工资支付提供更加有力的法律依据和政策支持。</w:t>
      </w:r>
    </w:p>
    <w:p w14:paraId="5D642620" w14:textId="77777777" w:rsidR="004D0BEA" w:rsidRDefault="00000000">
      <w:pPr>
        <w:ind w:firstLine="420"/>
        <w:rPr>
          <w:rFonts w:ascii="宋体" w:hAnsi="宋体" w:cs="宋体" w:hint="eastAsia"/>
        </w:rPr>
      </w:pPr>
      <w:r>
        <w:rPr>
          <w:rFonts w:ascii="宋体" w:hAnsi="宋体" w:cs="宋体" w:hint="eastAsia"/>
          <w:b/>
          <w:bCs/>
        </w:rPr>
        <w:t>（3）加强执法队伍建设：</w:t>
      </w:r>
      <w:r>
        <w:rPr>
          <w:rFonts w:ascii="宋体" w:hAnsi="宋体" w:cs="宋体" w:hint="eastAsia"/>
        </w:rPr>
        <w:t>监管部门应加强劳动保障监察执法队伍建设，提高执法人员的业务水平和执法能力，确保执法工作的公正、公平、公开。同时，要建立健全执法监督机制，加强对执法行为的监督和制约，防止执法不作为、乱作为等问题的发生，提高执法效能。</w:t>
      </w:r>
    </w:p>
    <w:p w14:paraId="2D0BAA06" w14:textId="6304878D" w:rsidR="004D0BEA" w:rsidRDefault="00000000" w:rsidP="002F66C6">
      <w:pPr>
        <w:pStyle w:val="3"/>
      </w:pPr>
      <w:bookmarkStart w:id="25" w:name="_Toc194005791"/>
      <w:r>
        <w:rPr>
          <w:rFonts w:hint="eastAsia"/>
        </w:rPr>
        <w:t>社会层面</w:t>
      </w:r>
      <w:bookmarkEnd w:id="25"/>
    </w:p>
    <w:p w14:paraId="33867907" w14:textId="7F4FF833" w:rsidR="004D0BEA" w:rsidRDefault="00000000" w:rsidP="003675D9">
      <w:pPr>
        <w:ind w:firstLine="420"/>
        <w:rPr>
          <w:rFonts w:ascii="宋体" w:hAnsi="宋体" w:cs="宋体" w:hint="eastAsia"/>
        </w:rPr>
      </w:pPr>
      <w:r>
        <w:rPr>
          <w:rFonts w:ascii="宋体" w:hAnsi="宋体" w:cs="宋体" w:hint="eastAsia"/>
          <w:b/>
          <w:bCs/>
        </w:rPr>
        <w:t>（1）加强社会监督：</w:t>
      </w:r>
      <w:r>
        <w:rPr>
          <w:rFonts w:ascii="宋体" w:hAnsi="宋体" w:cs="宋体" w:hint="eastAsia"/>
        </w:rPr>
        <w:t>社会各界应加强对企业劳动保障行为的关注和监督，通过媒体曝光、公众举报等方式，对拖欠农民工工资的企业形成舆论压力，促使其尽快改正违法行为。同时，要充分发挥行业协会等社会组织的作用，加强行业自律，引导企业自觉遵守劳动保障法律法规，维护行业良好秩序。</w:t>
      </w:r>
    </w:p>
    <w:p w14:paraId="48DDDB02" w14:textId="476EC370" w:rsidR="004D0BEA" w:rsidRDefault="00000000">
      <w:pPr>
        <w:ind w:firstLine="420"/>
        <w:rPr>
          <w:rFonts w:ascii="宋体" w:hAnsi="宋体" w:cs="宋体" w:hint="eastAsia"/>
        </w:rPr>
      </w:pPr>
      <w:r>
        <w:rPr>
          <w:rFonts w:ascii="宋体" w:hAnsi="宋体" w:cs="宋体" w:hint="eastAsia"/>
          <w:b/>
          <w:bCs/>
        </w:rPr>
        <w:t>（2）加强宣传教育：</w:t>
      </w:r>
      <w:r>
        <w:rPr>
          <w:rFonts w:ascii="宋体" w:hAnsi="宋体" w:cs="宋体" w:hint="eastAsia"/>
        </w:rPr>
        <w:t>社会应加强对劳动保障法律法规的宣传教育，提高农民工的法律意识和维权能力，使其了解自己的合法权益和维权途径。同时，也要加强对企业的法治宣传教育，引导企业树立正确的价值观和经营理念，增强企业的社会责任感和法律意识，营造社会关心关爱农民工、维护其合法权益的良好氛围。</w:t>
      </w:r>
    </w:p>
    <w:p w14:paraId="569C8ABB" w14:textId="77777777" w:rsidR="004D0BEA" w:rsidRDefault="00000000">
      <w:pPr>
        <w:pStyle w:val="a"/>
        <w:spacing w:before="312"/>
      </w:pPr>
      <w:bookmarkStart w:id="26" w:name="_Toc194005792"/>
      <w:r>
        <w:rPr>
          <w:rFonts w:hint="eastAsia"/>
        </w:rPr>
        <w:lastRenderedPageBreak/>
        <w:t>高校学术诚信案例研讨</w:t>
      </w:r>
      <w:bookmarkEnd w:id="26"/>
    </w:p>
    <w:p w14:paraId="4E831D0C" w14:textId="77777777" w:rsidR="004D0BEA" w:rsidRDefault="00000000">
      <w:pPr>
        <w:pStyle w:val="a0"/>
        <w:spacing w:before="156"/>
      </w:pPr>
      <w:bookmarkStart w:id="27" w:name="_Toc194005793"/>
      <w:r>
        <w:rPr>
          <w:rFonts w:hint="eastAsia"/>
        </w:rPr>
        <w:t>案例背景</w:t>
      </w:r>
      <w:bookmarkEnd w:id="27"/>
    </w:p>
    <w:p w14:paraId="16FE2B88" w14:textId="77777777" w:rsidR="004D0BEA" w:rsidRPr="003675D9" w:rsidRDefault="00000000">
      <w:pPr>
        <w:ind w:firstLineChars="200" w:firstLine="480"/>
        <w:rPr>
          <w:rFonts w:ascii="宋体" w:hAnsi="宋体" w:cs="宋体" w:hint="eastAsia"/>
        </w:rPr>
      </w:pPr>
      <w:r>
        <w:rPr>
          <w:rFonts w:ascii="宋体" w:hAnsi="宋体" w:cs="宋体" w:hint="eastAsia"/>
        </w:rPr>
        <w:t>2022年5月30日，西安电子科技大学接到举报，计算机科学与技术学院本科生雷某某、卢某某在毕业设计过程中存在学术不端行为。学校立即成立调查组核查，</w:t>
      </w:r>
      <w:r w:rsidRPr="003675D9">
        <w:rPr>
          <w:rFonts w:ascii="宋体" w:hAnsi="宋体" w:cs="宋体" w:hint="eastAsia"/>
        </w:rPr>
        <w:t>发现以下问题：</w:t>
      </w:r>
    </w:p>
    <w:p w14:paraId="2FD8AF8A" w14:textId="77777777" w:rsidR="004D0BEA" w:rsidRDefault="00000000">
      <w:pPr>
        <w:ind w:firstLineChars="200" w:firstLine="482"/>
        <w:rPr>
          <w:rFonts w:ascii="宋体" w:hAnsi="宋体" w:cs="宋体" w:hint="eastAsia"/>
        </w:rPr>
      </w:pPr>
      <w:r w:rsidRPr="003675D9">
        <w:rPr>
          <w:rFonts w:ascii="宋体" w:hAnsi="宋体" w:cs="宋体" w:hint="eastAsia"/>
          <w:b/>
          <w:bCs/>
        </w:rPr>
        <w:t>（1）购买代码：</w:t>
      </w:r>
      <w:r>
        <w:rPr>
          <w:rFonts w:ascii="宋体" w:hAnsi="宋体" w:cs="宋体" w:hint="eastAsia"/>
        </w:rPr>
        <w:t>两人通过网络平台购买毕业设计所需代码，并将其用于论文实验部分；</w:t>
      </w:r>
    </w:p>
    <w:p w14:paraId="26D2FE47" w14:textId="77777777" w:rsidR="004D0BEA" w:rsidRDefault="00000000">
      <w:pPr>
        <w:ind w:firstLineChars="200" w:firstLine="482"/>
        <w:rPr>
          <w:rFonts w:ascii="宋体" w:hAnsi="宋体" w:cs="宋体" w:hint="eastAsia"/>
        </w:rPr>
      </w:pPr>
      <w:r w:rsidRPr="003675D9">
        <w:rPr>
          <w:rFonts w:ascii="宋体" w:hAnsi="宋体" w:cs="宋体" w:hint="eastAsia"/>
          <w:b/>
          <w:bCs/>
        </w:rPr>
        <w:t>（2）伪造成果：</w:t>
      </w:r>
      <w:r>
        <w:rPr>
          <w:rFonts w:ascii="宋体" w:hAnsi="宋体" w:cs="宋体" w:hint="eastAsia"/>
        </w:rPr>
        <w:t>论文中未标注代码来源，谎称实验结果为自主开发。</w:t>
      </w:r>
    </w:p>
    <w:p w14:paraId="2DED2341" w14:textId="7E558F2C" w:rsidR="004D0BEA" w:rsidRDefault="00000000" w:rsidP="003675D9">
      <w:pPr>
        <w:ind w:firstLineChars="200" w:firstLine="480"/>
        <w:rPr>
          <w:rFonts w:ascii="宋体" w:hAnsi="宋体" w:cs="宋体" w:hint="eastAsia"/>
        </w:rPr>
      </w:pPr>
      <w:r>
        <w:rPr>
          <w:rFonts w:ascii="宋体" w:hAnsi="宋体" w:cs="宋体" w:hint="eastAsia"/>
        </w:rPr>
        <w:t>学术委员会认定，雷某某、卢某某的行为构成学术不端（剽窃、伪造数据）；</w:t>
      </w:r>
      <w:r w:rsidRPr="003675D9">
        <w:rPr>
          <w:rFonts w:ascii="宋体" w:hAnsi="宋体" w:cs="宋体" w:hint="eastAsia"/>
        </w:rPr>
        <w:t>学校决定给</w:t>
      </w:r>
      <w:r>
        <w:rPr>
          <w:rFonts w:ascii="宋体" w:hAnsi="宋体" w:cs="宋体" w:hint="eastAsia"/>
        </w:rPr>
        <w:t>予两人留校察看一年处分，期间不得申请学位；取消卢某某研究生推免资格（因其已通过推免录取）。</w:t>
      </w:r>
    </w:p>
    <w:p w14:paraId="2862780C" w14:textId="15847465" w:rsidR="00052860" w:rsidRDefault="00052860" w:rsidP="00052860">
      <w:pPr>
        <w:jc w:val="center"/>
        <w:rPr>
          <w:rFonts w:ascii="宋体" w:hAnsi="宋体" w:cs="宋体" w:hint="eastAsia"/>
        </w:rPr>
      </w:pPr>
      <w:r>
        <w:rPr>
          <w:rFonts w:hint="eastAsia"/>
          <w:noProof/>
        </w:rPr>
        <w:drawing>
          <wp:inline distT="0" distB="0" distL="0" distR="0" wp14:anchorId="073CB4D7" wp14:editId="1E4F2074">
            <wp:extent cx="3755397" cy="2134509"/>
            <wp:effectExtent l="0" t="0" r="0" b="0"/>
            <wp:docPr id="1375765708" name="图片 1" descr="22日，枪手在贴吧发帖曝光西安电子科技大学2名学生在平台上找其代做毕业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日，枪手在贴吧发帖曝光西安电子科技大学2名学生在平台上找其代做毕业设计"/>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8522" cy="2136285"/>
                    </a:xfrm>
                    <a:prstGeom prst="rect">
                      <a:avLst/>
                    </a:prstGeom>
                    <a:noFill/>
                    <a:ln>
                      <a:noFill/>
                    </a:ln>
                  </pic:spPr>
                </pic:pic>
              </a:graphicData>
            </a:graphic>
          </wp:inline>
        </w:drawing>
      </w:r>
    </w:p>
    <w:p w14:paraId="6FBAD111" w14:textId="19BD53FA" w:rsidR="00052860" w:rsidRDefault="00052860" w:rsidP="00052860">
      <w:pPr>
        <w:jc w:val="center"/>
        <w:rPr>
          <w:rFonts w:ascii="宋体" w:hAnsi="宋体" w:cs="宋体" w:hint="eastAsia"/>
        </w:rPr>
      </w:pPr>
      <w:r>
        <w:rPr>
          <w:rFonts w:hint="eastAsia"/>
          <w:noProof/>
        </w:rPr>
        <w:drawing>
          <wp:inline distT="0" distB="0" distL="0" distR="0" wp14:anchorId="2AD5F8E2" wp14:editId="7A0326DF">
            <wp:extent cx="3779845" cy="1266471"/>
            <wp:effectExtent l="0" t="0" r="0" b="0"/>
            <wp:docPr id="1102918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7559" cy="1272406"/>
                    </a:xfrm>
                    <a:prstGeom prst="rect">
                      <a:avLst/>
                    </a:prstGeom>
                    <a:noFill/>
                    <a:ln>
                      <a:noFill/>
                    </a:ln>
                  </pic:spPr>
                </pic:pic>
              </a:graphicData>
            </a:graphic>
          </wp:inline>
        </w:drawing>
      </w:r>
    </w:p>
    <w:p w14:paraId="3981F222" w14:textId="5AD443BB" w:rsidR="00052860" w:rsidRPr="003675D9" w:rsidRDefault="00052860" w:rsidP="00052860">
      <w:pPr>
        <w:pStyle w:val="af3"/>
        <w:spacing w:after="156"/>
      </w:pPr>
      <w:r>
        <w:rPr>
          <w:rFonts w:hint="eastAsia"/>
        </w:rPr>
        <w:t>图</w:t>
      </w:r>
      <w:r>
        <w:rPr>
          <w:rFonts w:hint="eastAsia"/>
        </w:rPr>
        <w:t xml:space="preserve">2 </w:t>
      </w:r>
      <w:r>
        <w:rPr>
          <w:rFonts w:hint="eastAsia"/>
        </w:rPr>
        <w:t>情况说明图</w:t>
      </w:r>
    </w:p>
    <w:p w14:paraId="7D6E4CCD" w14:textId="77777777" w:rsidR="004D0BEA" w:rsidRDefault="00000000">
      <w:pPr>
        <w:pStyle w:val="a0"/>
        <w:spacing w:before="156"/>
      </w:pPr>
      <w:bookmarkStart w:id="28" w:name="_Toc194005794"/>
      <w:r>
        <w:rPr>
          <w:rFonts w:hint="eastAsia"/>
        </w:rPr>
        <w:t>原因分析</w:t>
      </w:r>
      <w:bookmarkEnd w:id="28"/>
    </w:p>
    <w:p w14:paraId="0B854CA9" w14:textId="14312898" w:rsidR="004D0BEA" w:rsidRDefault="00000000" w:rsidP="002F66C6">
      <w:pPr>
        <w:pStyle w:val="3"/>
      </w:pPr>
      <w:bookmarkStart w:id="29" w:name="_Toc194005795"/>
      <w:r>
        <w:rPr>
          <w:rFonts w:hint="eastAsia"/>
        </w:rPr>
        <w:t>学生主观因素</w:t>
      </w:r>
      <w:bookmarkEnd w:id="29"/>
    </w:p>
    <w:p w14:paraId="13DAB05C" w14:textId="77777777" w:rsidR="004D0BEA" w:rsidRDefault="00000000" w:rsidP="003675D9">
      <w:pPr>
        <w:ind w:firstLine="420"/>
        <w:rPr>
          <w:rFonts w:ascii="宋体" w:hAnsi="宋体" w:cs="宋体" w:hint="eastAsia"/>
          <w:szCs w:val="24"/>
        </w:rPr>
      </w:pPr>
      <w:r w:rsidRPr="003675D9">
        <w:rPr>
          <w:rFonts w:ascii="宋体" w:hAnsi="宋体" w:cs="宋体" w:hint="eastAsia"/>
          <w:b/>
          <w:bCs/>
          <w:szCs w:val="24"/>
        </w:rPr>
        <w:t>（1）</w:t>
      </w:r>
      <w:r w:rsidRPr="003675D9">
        <w:rPr>
          <w:rFonts w:ascii="宋体" w:hAnsi="宋体" w:cs="宋体"/>
          <w:b/>
          <w:bCs/>
          <w:szCs w:val="24"/>
        </w:rPr>
        <w:t>诚信意识缺失：</w:t>
      </w:r>
      <w:r>
        <w:rPr>
          <w:rFonts w:ascii="宋体" w:hAnsi="宋体" w:cs="宋体"/>
          <w:szCs w:val="24"/>
        </w:rPr>
        <w:t>雷某某、卢某某在面对毕业设计任务时，未能充分认识到学术诚信的重要性，为快速完成任务而选择购买代码，反映出其诚信意识的严</w:t>
      </w:r>
      <w:r>
        <w:rPr>
          <w:rFonts w:ascii="宋体" w:hAnsi="宋体" w:cs="宋体"/>
          <w:szCs w:val="24"/>
        </w:rPr>
        <w:lastRenderedPageBreak/>
        <w:t>重缺失。这种行为不仅违背了学术道德，也损害了学术的公正性和严谨性。</w:t>
      </w:r>
    </w:p>
    <w:p w14:paraId="47AC7F68" w14:textId="77777777" w:rsidR="004D0BEA" w:rsidRDefault="00000000" w:rsidP="003675D9">
      <w:pPr>
        <w:ind w:firstLine="420"/>
        <w:rPr>
          <w:rFonts w:ascii="宋体" w:hAnsi="宋体" w:cs="宋体" w:hint="eastAsia"/>
          <w:szCs w:val="24"/>
        </w:rPr>
      </w:pPr>
      <w:r w:rsidRPr="003675D9">
        <w:rPr>
          <w:rFonts w:ascii="宋体" w:hAnsi="宋体" w:cs="宋体" w:hint="eastAsia"/>
          <w:b/>
          <w:bCs/>
          <w:szCs w:val="24"/>
        </w:rPr>
        <w:t>（2）</w:t>
      </w:r>
      <w:r w:rsidRPr="003675D9">
        <w:rPr>
          <w:rFonts w:ascii="宋体" w:hAnsi="宋体" w:cs="宋体"/>
          <w:b/>
          <w:bCs/>
          <w:szCs w:val="24"/>
        </w:rPr>
        <w:t>投机心理作祟：</w:t>
      </w:r>
      <w:r>
        <w:rPr>
          <w:rFonts w:ascii="宋体" w:hAnsi="宋体" w:cs="宋体"/>
          <w:szCs w:val="24"/>
        </w:rPr>
        <w:t>学生认为网络交易具有一定的隐蔽性，学校难以追查技术成果来源，从而心存侥幸，试图通过不正当手段获取学术成果。这种投机心理使得他们在面对学术规范时，选择绕过而不是遵守。</w:t>
      </w:r>
    </w:p>
    <w:p w14:paraId="3FA08549" w14:textId="7CF4F253" w:rsidR="004D0BEA" w:rsidRDefault="00000000" w:rsidP="002F66C6">
      <w:pPr>
        <w:pStyle w:val="3"/>
      </w:pPr>
      <w:bookmarkStart w:id="30" w:name="_Toc194005796"/>
      <w:r>
        <w:rPr>
          <w:rFonts w:hint="eastAsia"/>
        </w:rPr>
        <w:t>外部环境影响</w:t>
      </w:r>
      <w:bookmarkEnd w:id="30"/>
    </w:p>
    <w:p w14:paraId="0C260675" w14:textId="77777777" w:rsidR="004D0BEA" w:rsidRDefault="00000000" w:rsidP="003675D9">
      <w:pPr>
        <w:pStyle w:val="11"/>
        <w:ind w:firstLineChars="0" w:firstLine="420"/>
        <w:rPr>
          <w:rFonts w:ascii="宋体" w:hAnsi="宋体" w:cs="宋体" w:hint="eastAsia"/>
          <w:szCs w:val="24"/>
        </w:rPr>
      </w:pPr>
      <w:r w:rsidRPr="003675D9">
        <w:rPr>
          <w:rFonts w:ascii="宋体" w:hAnsi="宋体" w:cs="宋体" w:hint="eastAsia"/>
          <w:b/>
          <w:bCs/>
          <w:szCs w:val="24"/>
        </w:rPr>
        <w:t>（1）</w:t>
      </w:r>
      <w:r w:rsidRPr="003675D9">
        <w:rPr>
          <w:rFonts w:ascii="宋体" w:hAnsi="宋体" w:cs="宋体"/>
          <w:b/>
          <w:bCs/>
          <w:szCs w:val="24"/>
        </w:rPr>
        <w:t>网络平台漏洞：</w:t>
      </w:r>
      <w:r>
        <w:rPr>
          <w:rFonts w:ascii="宋体" w:hAnsi="宋体" w:cs="宋体"/>
          <w:szCs w:val="24"/>
        </w:rPr>
        <w:t>部分网络平台存在监管不力的问题，允许代码代写等灰色服务的存在，为学术不端行为提供了便利。这种灰色产业链的存在，使得学生能够轻易地获取不正当的学术帮助。</w:t>
      </w:r>
    </w:p>
    <w:p w14:paraId="29D26E2D" w14:textId="77777777" w:rsidR="004D0BEA" w:rsidRDefault="00000000" w:rsidP="003675D9">
      <w:pPr>
        <w:pStyle w:val="11"/>
        <w:ind w:firstLineChars="0" w:firstLine="420"/>
      </w:pPr>
      <w:r w:rsidRPr="003675D9">
        <w:rPr>
          <w:rFonts w:ascii="宋体" w:hAnsi="宋体" w:cs="宋体" w:hint="eastAsia"/>
          <w:b/>
          <w:bCs/>
          <w:szCs w:val="24"/>
        </w:rPr>
        <w:t>（2）</w:t>
      </w:r>
      <w:r w:rsidRPr="003675D9">
        <w:rPr>
          <w:rFonts w:ascii="宋体" w:hAnsi="宋体" w:cs="宋体"/>
          <w:b/>
          <w:bCs/>
          <w:szCs w:val="24"/>
        </w:rPr>
        <w:t>学术评价偏差：</w:t>
      </w:r>
      <w:r>
        <w:rPr>
          <w:rFonts w:ascii="宋体" w:hAnsi="宋体" w:cs="宋体"/>
          <w:szCs w:val="24"/>
        </w:rPr>
        <w:t>部分高校在学术评价过程中，过于注重结果而忽视过程，导致学生为了追求好的实验结果而忽视学术规范。这种评价导向可能促使学生采取不正当手段来达到预期的学术成果。</w:t>
      </w:r>
    </w:p>
    <w:p w14:paraId="08D98C9E" w14:textId="5EF2529B" w:rsidR="004D0BEA" w:rsidRDefault="00000000" w:rsidP="002F66C6">
      <w:pPr>
        <w:pStyle w:val="3"/>
      </w:pPr>
      <w:bookmarkStart w:id="31" w:name="_Toc194005797"/>
      <w:r>
        <w:rPr>
          <w:rFonts w:hint="eastAsia"/>
        </w:rPr>
        <w:t>监管机制不足</w:t>
      </w:r>
      <w:bookmarkEnd w:id="31"/>
    </w:p>
    <w:p w14:paraId="1CF43BD4" w14:textId="77777777" w:rsidR="004D0BEA" w:rsidRDefault="00000000" w:rsidP="003675D9">
      <w:pPr>
        <w:pStyle w:val="11"/>
        <w:ind w:firstLineChars="0" w:firstLine="420"/>
        <w:rPr>
          <w:rFonts w:ascii="宋体" w:hAnsi="宋体" w:cs="宋体" w:hint="eastAsia"/>
          <w:szCs w:val="24"/>
        </w:rPr>
      </w:pPr>
      <w:r w:rsidRPr="003675D9">
        <w:rPr>
          <w:rFonts w:ascii="宋体" w:hAnsi="宋体" w:cs="宋体" w:hint="eastAsia"/>
          <w:b/>
          <w:bCs/>
          <w:szCs w:val="24"/>
        </w:rPr>
        <w:t>（1）</w:t>
      </w:r>
      <w:r w:rsidRPr="003675D9">
        <w:rPr>
          <w:rFonts w:ascii="宋体" w:hAnsi="宋体" w:cs="宋体"/>
          <w:b/>
          <w:bCs/>
          <w:szCs w:val="24"/>
        </w:rPr>
        <w:t>导师指导缺位：</w:t>
      </w:r>
      <w:r>
        <w:rPr>
          <w:rFonts w:ascii="宋体" w:hAnsi="宋体" w:cs="宋体"/>
          <w:szCs w:val="24"/>
        </w:rPr>
        <w:t>导师在学生的学术研究过程中扮演着重要的指导角色。然而，在该案例中，导师未能及时发现学生代码来源的异常，反映出导师指导的缺位。这可能是由于导师的工作繁忙、指导精力有限，或者对学术不端行为的敏感度不够。</w:t>
      </w:r>
    </w:p>
    <w:p w14:paraId="60A7F0DB" w14:textId="77777777" w:rsidR="004D0BEA" w:rsidRDefault="00000000" w:rsidP="003675D9">
      <w:pPr>
        <w:pStyle w:val="11"/>
        <w:ind w:firstLineChars="0" w:firstLine="420"/>
        <w:rPr>
          <w:rFonts w:ascii="宋体" w:hAnsi="宋体" w:cs="宋体" w:hint="eastAsia"/>
          <w:szCs w:val="24"/>
        </w:rPr>
      </w:pPr>
      <w:r w:rsidRPr="003675D9">
        <w:rPr>
          <w:rFonts w:ascii="宋体" w:hAnsi="宋体" w:cs="宋体" w:hint="eastAsia"/>
          <w:b/>
          <w:bCs/>
          <w:szCs w:val="24"/>
        </w:rPr>
        <w:t>（2）</w:t>
      </w:r>
      <w:r w:rsidRPr="003675D9">
        <w:rPr>
          <w:rFonts w:ascii="宋体" w:hAnsi="宋体" w:cs="宋体"/>
          <w:b/>
          <w:bCs/>
          <w:szCs w:val="24"/>
        </w:rPr>
        <w:t>技术检测滞后：</w:t>
      </w:r>
      <w:r>
        <w:rPr>
          <w:rFonts w:ascii="宋体" w:hAnsi="宋体" w:cs="宋体"/>
          <w:szCs w:val="24"/>
        </w:rPr>
        <w:t>学校在技术检测手段上存在不足，缺乏有效的代码相似性比对工具，过度依赖人工审查。这使得一些学术不端行为能够逃过检测，增加了学术不端行为的发生概率。</w:t>
      </w:r>
    </w:p>
    <w:p w14:paraId="25CFEE48" w14:textId="77777777" w:rsidR="004D0BEA" w:rsidRDefault="00000000">
      <w:pPr>
        <w:pStyle w:val="a0"/>
        <w:spacing w:before="156"/>
      </w:pPr>
      <w:bookmarkStart w:id="32" w:name="_Toc194005798"/>
      <w:r>
        <w:rPr>
          <w:rFonts w:hint="eastAsia"/>
        </w:rPr>
        <w:t>反思与警示</w:t>
      </w:r>
      <w:bookmarkEnd w:id="32"/>
    </w:p>
    <w:p w14:paraId="34F50923" w14:textId="49C24E8A" w:rsidR="004D0BEA" w:rsidRDefault="00000000" w:rsidP="002F66C6">
      <w:pPr>
        <w:pStyle w:val="3"/>
      </w:pPr>
      <w:bookmarkStart w:id="33" w:name="_Toc194005799"/>
      <w:r>
        <w:rPr>
          <w:rFonts w:hint="eastAsia"/>
        </w:rPr>
        <w:t>对学生的反思与警示：</w:t>
      </w:r>
      <w:bookmarkEnd w:id="33"/>
    </w:p>
    <w:p w14:paraId="376C5A68" w14:textId="40AAD34F" w:rsidR="004D0BEA" w:rsidRDefault="003675D9" w:rsidP="003675D9">
      <w:pPr>
        <w:ind w:firstLine="420"/>
        <w:rPr>
          <w:rFonts w:ascii="宋体" w:hAnsi="宋体" w:cs="宋体" w:hint="eastAsia"/>
          <w:szCs w:val="24"/>
        </w:rPr>
      </w:pPr>
      <w:r>
        <w:rPr>
          <w:rFonts w:ascii="宋体" w:hAnsi="宋体" w:cs="宋体" w:hint="eastAsia"/>
          <w:b/>
          <w:bCs/>
          <w:szCs w:val="24"/>
        </w:rPr>
        <w:t>（1）</w:t>
      </w:r>
      <w:r w:rsidRPr="003675D9">
        <w:rPr>
          <w:rFonts w:ascii="宋体" w:hAnsi="宋体" w:cs="宋体"/>
          <w:b/>
          <w:bCs/>
          <w:szCs w:val="24"/>
        </w:rPr>
        <w:t>严守学术底线：</w:t>
      </w:r>
      <w:r>
        <w:rPr>
          <w:rFonts w:ascii="宋体" w:hAnsi="宋体" w:cs="宋体"/>
          <w:szCs w:val="24"/>
        </w:rPr>
        <w:t>学生应充分认识到学术诚信的重要性，明白学术不端行为将对个人的学术生涯和未来发展产生严重的负面影响。一旦被认定为学术不端，不仅可能导致学位被撤销，还会在个人档案上留下污点，影响其未来的就业和学术发展。</w:t>
      </w:r>
    </w:p>
    <w:p w14:paraId="52D527B0" w14:textId="43587A3E" w:rsidR="004D0BEA" w:rsidRDefault="003675D9" w:rsidP="003675D9">
      <w:pPr>
        <w:ind w:firstLine="420"/>
      </w:pPr>
      <w:r w:rsidRPr="003675D9">
        <w:rPr>
          <w:rFonts w:ascii="宋体" w:hAnsi="宋体" w:cs="宋体" w:hint="eastAsia"/>
          <w:b/>
          <w:bCs/>
          <w:szCs w:val="24"/>
        </w:rPr>
        <w:t>（2）</w:t>
      </w:r>
      <w:r w:rsidRPr="003675D9">
        <w:rPr>
          <w:rFonts w:ascii="宋体" w:hAnsi="宋体" w:cs="宋体"/>
          <w:b/>
          <w:bCs/>
          <w:szCs w:val="24"/>
        </w:rPr>
        <w:t>重视原创性：</w:t>
      </w:r>
      <w:r>
        <w:rPr>
          <w:rFonts w:ascii="宋体" w:hAnsi="宋体" w:cs="宋体"/>
          <w:szCs w:val="24"/>
        </w:rPr>
        <w:t>在学术研究过程中，学生应注重培养自己的原创能力，遵循学术规范，确保自己的研究成果真实可靠。对于引用的第三方代码或其他学术资源，应明确标注来源，避免出现抄袭或剽窃的情况。</w:t>
      </w:r>
    </w:p>
    <w:p w14:paraId="566077F5" w14:textId="59859CC9" w:rsidR="004D0BEA" w:rsidRDefault="00000000" w:rsidP="002F66C6">
      <w:pPr>
        <w:pStyle w:val="3"/>
      </w:pPr>
      <w:bookmarkStart w:id="34" w:name="_Toc194005800"/>
      <w:r>
        <w:rPr>
          <w:rFonts w:hint="eastAsia"/>
        </w:rPr>
        <w:lastRenderedPageBreak/>
        <w:t>对高校的反思与警示：</w:t>
      </w:r>
      <w:bookmarkEnd w:id="34"/>
    </w:p>
    <w:p w14:paraId="4DE6D6DB" w14:textId="4AD416D2" w:rsidR="004D0BEA" w:rsidRDefault="003675D9" w:rsidP="003675D9">
      <w:pPr>
        <w:ind w:firstLine="420"/>
        <w:rPr>
          <w:rFonts w:ascii="宋体" w:hAnsi="宋体" w:cs="宋体" w:hint="eastAsia"/>
          <w:szCs w:val="24"/>
        </w:rPr>
      </w:pPr>
      <w:r>
        <w:rPr>
          <w:rFonts w:ascii="宋体" w:hAnsi="宋体" w:cs="宋体" w:hint="eastAsia"/>
          <w:b/>
          <w:bCs/>
          <w:szCs w:val="24"/>
        </w:rPr>
        <w:t>（1）</w:t>
      </w:r>
      <w:r w:rsidRPr="003675D9">
        <w:rPr>
          <w:rFonts w:ascii="宋体" w:hAnsi="宋体" w:cs="宋体"/>
          <w:b/>
          <w:bCs/>
          <w:szCs w:val="24"/>
        </w:rPr>
        <w:t>加强全过程监管：</w:t>
      </w:r>
      <w:r>
        <w:rPr>
          <w:rFonts w:ascii="宋体" w:hAnsi="宋体" w:cs="宋体"/>
          <w:szCs w:val="24"/>
        </w:rPr>
        <w:t>高校应建立健全学术研究的全过程监管机制，从开题、中期检查到答辩，增加对代码、论文等学术成果的审核环节。通过严格的监管，及时发现并纠正学生的学术不端行为，引导学生树立正确的学术价值观。</w:t>
      </w:r>
    </w:p>
    <w:p w14:paraId="2BCD7C22" w14:textId="466AAE89" w:rsidR="004D0BEA" w:rsidRDefault="003675D9" w:rsidP="003675D9">
      <w:pPr>
        <w:ind w:firstLine="420"/>
      </w:pPr>
      <w:r>
        <w:rPr>
          <w:rFonts w:ascii="宋体" w:hAnsi="宋体" w:cs="宋体" w:hint="eastAsia"/>
          <w:b/>
          <w:bCs/>
          <w:szCs w:val="24"/>
        </w:rPr>
        <w:t>（2）</w:t>
      </w:r>
      <w:r w:rsidRPr="003675D9">
        <w:rPr>
          <w:rFonts w:ascii="宋体" w:hAnsi="宋体" w:cs="宋体"/>
          <w:b/>
          <w:bCs/>
          <w:szCs w:val="24"/>
        </w:rPr>
        <w:t>完善技术手段：</w:t>
      </w:r>
      <w:r>
        <w:rPr>
          <w:rFonts w:ascii="宋体" w:hAnsi="宋体" w:cs="宋体"/>
          <w:szCs w:val="24"/>
        </w:rPr>
        <w:t>高校应积极引入先进的技术检测工具，如代码查重系统（如MOSS系统），提高对学术不端行为的识别能力。同时，加强对技术检测结果的分析和应用，将其作为学术评价的重要参考依据。</w:t>
      </w:r>
    </w:p>
    <w:p w14:paraId="051FDF66" w14:textId="66E4EB10" w:rsidR="004D0BEA" w:rsidRDefault="003675D9" w:rsidP="003675D9">
      <w:pPr>
        <w:ind w:firstLine="420"/>
      </w:pPr>
      <w:r>
        <w:rPr>
          <w:rFonts w:ascii="宋体" w:hAnsi="宋体" w:cs="宋体" w:hint="eastAsia"/>
          <w:b/>
          <w:bCs/>
          <w:szCs w:val="24"/>
        </w:rPr>
        <w:t>（3）</w:t>
      </w:r>
      <w:r w:rsidRPr="003675D9">
        <w:rPr>
          <w:rFonts w:ascii="宋体" w:hAnsi="宋体" w:cs="宋体"/>
          <w:b/>
          <w:bCs/>
          <w:szCs w:val="24"/>
        </w:rPr>
        <w:t>强化导师责任：</w:t>
      </w:r>
      <w:r>
        <w:rPr>
          <w:rFonts w:ascii="宋体" w:hAnsi="宋体" w:cs="宋体"/>
          <w:szCs w:val="24"/>
        </w:rPr>
        <w:t>高校应明确导师在学生学术研究过程中的指导责任，要求导师加强对学生的学术道德教育和学术规范指导。定期对导师进行培训，提高导师的指导能力和对学术不端行为的敏感度，确保导师能够及时发现并纠正学生的不当行为。</w:t>
      </w:r>
    </w:p>
    <w:p w14:paraId="32CA04A0" w14:textId="6D381A64" w:rsidR="004D0BEA" w:rsidRDefault="00000000" w:rsidP="002F66C6">
      <w:pPr>
        <w:pStyle w:val="3"/>
      </w:pPr>
      <w:bookmarkStart w:id="35" w:name="_Toc194005801"/>
      <w:r>
        <w:rPr>
          <w:rFonts w:hint="eastAsia"/>
        </w:rPr>
        <w:t>对社会的反思与警示：</w:t>
      </w:r>
      <w:bookmarkEnd w:id="35"/>
    </w:p>
    <w:p w14:paraId="0B204D4A" w14:textId="11B8D249" w:rsidR="004D0BEA" w:rsidRDefault="003675D9" w:rsidP="003675D9">
      <w:pPr>
        <w:pStyle w:val="11"/>
        <w:ind w:firstLineChars="0" w:firstLine="420"/>
        <w:rPr>
          <w:rFonts w:ascii="宋体" w:hAnsi="宋体" w:cs="宋体" w:hint="eastAsia"/>
          <w:szCs w:val="24"/>
        </w:rPr>
      </w:pPr>
      <w:r>
        <w:rPr>
          <w:rFonts w:ascii="宋体" w:hAnsi="宋体" w:cs="宋体" w:hint="eastAsia"/>
          <w:b/>
          <w:bCs/>
          <w:szCs w:val="24"/>
        </w:rPr>
        <w:t>（1）</w:t>
      </w:r>
      <w:r w:rsidRPr="003675D9">
        <w:rPr>
          <w:rFonts w:ascii="宋体" w:hAnsi="宋体" w:cs="宋体"/>
          <w:b/>
          <w:bCs/>
          <w:szCs w:val="24"/>
        </w:rPr>
        <w:t>清理灰色产业链：</w:t>
      </w:r>
      <w:r>
        <w:rPr>
          <w:rFonts w:ascii="宋体" w:hAnsi="宋体" w:cs="宋体"/>
          <w:szCs w:val="24"/>
        </w:rPr>
        <w:t>监管部门应加强对网络平台的监管，严厉打击代写、代做等违法平台，切断学术不端行为的灰色产业链。通过严格的执法和监管，营造一个公平、公正的学术环境。</w:t>
      </w:r>
    </w:p>
    <w:p w14:paraId="7141B738" w14:textId="0097377C" w:rsidR="004D0BEA" w:rsidRDefault="003675D9" w:rsidP="003675D9">
      <w:pPr>
        <w:pStyle w:val="11"/>
        <w:ind w:firstLineChars="0" w:firstLine="420"/>
        <w:rPr>
          <w:rFonts w:ascii="宋体" w:hAnsi="宋体" w:cs="宋体" w:hint="eastAsia"/>
          <w:szCs w:val="24"/>
        </w:rPr>
      </w:pPr>
      <w:r>
        <w:rPr>
          <w:rFonts w:ascii="宋体" w:hAnsi="宋体" w:cs="宋体" w:hint="eastAsia"/>
          <w:b/>
          <w:bCs/>
          <w:szCs w:val="24"/>
        </w:rPr>
        <w:t>（2）</w:t>
      </w:r>
      <w:r w:rsidRPr="003675D9">
        <w:rPr>
          <w:rFonts w:ascii="宋体" w:hAnsi="宋体" w:cs="宋体"/>
          <w:b/>
          <w:bCs/>
          <w:szCs w:val="24"/>
        </w:rPr>
        <w:t>推动评价改革：</w:t>
      </w:r>
      <w:r>
        <w:rPr>
          <w:rFonts w:ascii="宋体" w:hAnsi="宋体" w:cs="宋体"/>
          <w:szCs w:val="24"/>
        </w:rPr>
        <w:t>社会各界应共同推动学术评价机制的改革，弱化“唯成果论”的倾向，鼓励采用更加全面、多元的考核机制。在评价学术成果时，不仅要关注结果，还要注重研究过程和学术规范的遵循情况，引导学术研究向更加健康、可持续的方向发展。</w:t>
      </w:r>
    </w:p>
    <w:p w14:paraId="27233E58" w14:textId="415AC665" w:rsidR="00052860" w:rsidRDefault="00052860" w:rsidP="00052860">
      <w:pPr>
        <w:pStyle w:val="a"/>
        <w:spacing w:before="312"/>
      </w:pPr>
      <w:bookmarkStart w:id="36" w:name="_Toc194005802"/>
      <w:r>
        <w:rPr>
          <w:rFonts w:hint="eastAsia"/>
        </w:rPr>
        <w:t>反思与总结</w:t>
      </w:r>
      <w:bookmarkEnd w:id="36"/>
    </w:p>
    <w:p w14:paraId="3F4E0D25" w14:textId="77777777" w:rsidR="002F66C6" w:rsidRPr="002F66C6" w:rsidRDefault="002F66C6" w:rsidP="002F66C6">
      <w:pPr>
        <w:pStyle w:val="11"/>
        <w:ind w:firstLine="480"/>
      </w:pPr>
      <w:r w:rsidRPr="002F66C6">
        <w:t>通过本次研究，我们深入分析了</w:t>
      </w:r>
      <w:r w:rsidRPr="002F66C6">
        <w:rPr>
          <w:b/>
          <w:bCs/>
        </w:rPr>
        <w:t>电子信息产业</w:t>
      </w:r>
      <w:r w:rsidRPr="002F66C6">
        <w:t>相关的法律法规，并梳理了多个涉及</w:t>
      </w:r>
      <w:r w:rsidRPr="002F66C6">
        <w:rPr>
          <w:b/>
          <w:bCs/>
        </w:rPr>
        <w:t>知识产权、数据安全、网络安全</w:t>
      </w:r>
      <w:r w:rsidRPr="002F66C6">
        <w:t>等方面的重要法律条款。这些法规的制定不仅为产业提供了清晰的法律框架，同时也为企业合规运营提供了指引。然而，在实际应用过程中，许多企业由于</w:t>
      </w:r>
      <w:r w:rsidRPr="002F66C6">
        <w:rPr>
          <w:b/>
          <w:bCs/>
        </w:rPr>
        <w:t>法律意识薄弱</w:t>
      </w:r>
      <w:r w:rsidRPr="002F66C6">
        <w:t>或</w:t>
      </w:r>
      <w:r w:rsidRPr="002F66C6">
        <w:rPr>
          <w:b/>
          <w:bCs/>
        </w:rPr>
        <w:t>缺乏合规管理</w:t>
      </w:r>
      <w:r w:rsidRPr="002F66C6">
        <w:t>，往往陷入法律纠纷。因此，企业应当加强对相关法规的学习，建立完善的合规体系，以避免潜在的法律风险。</w:t>
      </w:r>
    </w:p>
    <w:p w14:paraId="348B4BF9" w14:textId="77777777" w:rsidR="002F66C6" w:rsidRPr="002F66C6" w:rsidRDefault="002F66C6" w:rsidP="002F66C6">
      <w:pPr>
        <w:pStyle w:val="11"/>
        <w:ind w:firstLine="480"/>
      </w:pPr>
      <w:r w:rsidRPr="002F66C6">
        <w:t>在知识产权案例分析中，我们看到了一些企业因</w:t>
      </w:r>
      <w:r w:rsidRPr="002F66C6">
        <w:rPr>
          <w:b/>
          <w:bCs/>
        </w:rPr>
        <w:t>商标侵权</w:t>
      </w:r>
      <w:r w:rsidRPr="002F66C6">
        <w:t>和</w:t>
      </w:r>
      <w:r w:rsidRPr="002F66C6">
        <w:rPr>
          <w:b/>
          <w:bCs/>
        </w:rPr>
        <w:t>不正当竞争</w:t>
      </w:r>
      <w:r w:rsidRPr="002F66C6">
        <w:t>而面临法律诉讼。例如，在</w:t>
      </w:r>
      <w:r w:rsidRPr="002F66C6">
        <w:t>“</w:t>
      </w:r>
      <w:r w:rsidRPr="002F66C6">
        <w:t>西门子商标侵权案</w:t>
      </w:r>
      <w:r w:rsidRPr="002F66C6">
        <w:t>”</w:t>
      </w:r>
      <w:r w:rsidRPr="002F66C6">
        <w:t>中，国内企业因擅自使用知名品牌标识，最终被判赔偿巨额损失。这一案例表明，企业在品牌建设过程中，必须严格</w:t>
      </w:r>
      <w:r w:rsidRPr="002F66C6">
        <w:lastRenderedPageBreak/>
        <w:t>遵守</w:t>
      </w:r>
      <w:r w:rsidRPr="002F66C6">
        <w:rPr>
          <w:b/>
          <w:bCs/>
        </w:rPr>
        <w:t>商标法</w:t>
      </w:r>
      <w:r w:rsidRPr="002F66C6">
        <w:t>，避免侵犯他人合法权益。同时，对于自身的知识产权，企业也需要采取有效措施，如</w:t>
      </w:r>
      <w:r w:rsidRPr="002F66C6">
        <w:rPr>
          <w:b/>
          <w:bCs/>
        </w:rPr>
        <w:t>专利申请、商标注册</w:t>
      </w:r>
      <w:r w:rsidRPr="002F66C6">
        <w:t>等，以确保自身创新成果的法律保护。</w:t>
      </w:r>
    </w:p>
    <w:p w14:paraId="7A560545" w14:textId="77777777" w:rsidR="002F66C6" w:rsidRPr="002F66C6" w:rsidRDefault="002F66C6" w:rsidP="002F66C6">
      <w:pPr>
        <w:pStyle w:val="11"/>
        <w:ind w:firstLine="480"/>
      </w:pPr>
      <w:r w:rsidRPr="002F66C6">
        <w:t>随着数字经济的发展，</w:t>
      </w:r>
      <w:r w:rsidRPr="002F66C6">
        <w:rPr>
          <w:b/>
          <w:bCs/>
        </w:rPr>
        <w:t>数据安全</w:t>
      </w:r>
      <w:r w:rsidRPr="002F66C6">
        <w:t>已成为各国政府和企业关注的核心问题。《</w:t>
      </w:r>
      <w:r w:rsidRPr="002F66C6">
        <w:rPr>
          <w:b/>
          <w:bCs/>
        </w:rPr>
        <w:t>网络安全法</w:t>
      </w:r>
      <w:r w:rsidRPr="002F66C6">
        <w:t>》和《</w:t>
      </w:r>
      <w:r w:rsidRPr="002F66C6">
        <w:rPr>
          <w:b/>
          <w:bCs/>
        </w:rPr>
        <w:t>数据安全法</w:t>
      </w:r>
      <w:r w:rsidRPr="002F66C6">
        <w:t>》对数据采集、存储、传输及使用均作出了严格规定。然而，现实中仍然存在企业因</w:t>
      </w:r>
      <w:r w:rsidRPr="002F66C6">
        <w:rPr>
          <w:b/>
          <w:bCs/>
        </w:rPr>
        <w:t>数据泄露</w:t>
      </w:r>
      <w:r w:rsidRPr="002F66C6">
        <w:t>或</w:t>
      </w:r>
      <w:r w:rsidRPr="002F66C6">
        <w:rPr>
          <w:b/>
          <w:bCs/>
        </w:rPr>
        <w:t>非法使用个人信息</w:t>
      </w:r>
      <w:r w:rsidRPr="002F66C6">
        <w:t>而受到处罚的情况。例如，一些互联网公司因滥用用户数据，被监管部门责令整改甚至罚款。因此，企业应加强</w:t>
      </w:r>
      <w:r w:rsidRPr="002F66C6">
        <w:rPr>
          <w:b/>
          <w:bCs/>
        </w:rPr>
        <w:t>网络安全技术投入</w:t>
      </w:r>
      <w:r w:rsidRPr="002F66C6">
        <w:t>，严格落实数据安全管理措施，确保用户信息和商业数据的合规性。</w:t>
      </w:r>
    </w:p>
    <w:p w14:paraId="346608DA" w14:textId="77777777" w:rsidR="002F66C6" w:rsidRPr="002F66C6" w:rsidRDefault="002F66C6" w:rsidP="002F66C6">
      <w:pPr>
        <w:pStyle w:val="11"/>
        <w:ind w:firstLine="480"/>
      </w:pPr>
      <w:r w:rsidRPr="002F66C6">
        <w:t>高校学术诚信问题同样值得关注。近年来，部分高校研究人员因</w:t>
      </w:r>
      <w:r w:rsidRPr="002F66C6">
        <w:rPr>
          <w:b/>
          <w:bCs/>
        </w:rPr>
        <w:t>论文抄袭、数据造假</w:t>
      </w:r>
      <w:r w:rsidRPr="002F66C6">
        <w:t>等问题受到学术界批评，甚至影响了整个学术领域的公信力。我们认为，学术机构应建立更严格的</w:t>
      </w:r>
      <w:r w:rsidRPr="002F66C6">
        <w:rPr>
          <w:b/>
          <w:bCs/>
        </w:rPr>
        <w:t>论文查重、数据审核</w:t>
      </w:r>
      <w:r w:rsidRPr="002F66C6">
        <w:t>机制，并加强学术道德教育。同时，电子信息产业的发展离不开高校的人才培养和技术创新，因此，高校应当与企业保持紧密合作，在</w:t>
      </w:r>
      <w:r w:rsidRPr="002F66C6">
        <w:rPr>
          <w:b/>
          <w:bCs/>
        </w:rPr>
        <w:t>人才培养、技术研发</w:t>
      </w:r>
      <w:r w:rsidRPr="002F66C6">
        <w:t>等方面共同推动行业规范化发展。</w:t>
      </w:r>
    </w:p>
    <w:p w14:paraId="291B0951" w14:textId="77777777" w:rsidR="002F66C6" w:rsidRPr="002F66C6" w:rsidRDefault="002F66C6" w:rsidP="002F66C6">
      <w:pPr>
        <w:pStyle w:val="11"/>
        <w:ind w:firstLine="480"/>
      </w:pPr>
      <w:r w:rsidRPr="002F66C6">
        <w:t>综合来看，电子信息产业的法律法规体系已较为完善，但在实际应用中仍面临诸多挑战。企业、学术机构以及相关从业人员需要不断提升法律意识，</w:t>
      </w:r>
      <w:r w:rsidRPr="002F66C6">
        <w:rPr>
          <w:b/>
          <w:bCs/>
        </w:rPr>
        <w:t>加强合规管理，健全知识产权保护体系，优化数据安全措施</w:t>
      </w:r>
      <w:r w:rsidRPr="002F66C6">
        <w:t>，以确保行业的健康可持续发展。未来，随着科技的发展和法律体系的完善，电子信息产业的法律环境将更加规范，为行业创新和竞争提供更有利的保障。</w:t>
      </w:r>
    </w:p>
    <w:sectPr w:rsidR="002F66C6" w:rsidRPr="002F66C6">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81B7D" w14:textId="77777777" w:rsidR="00541FFF" w:rsidRDefault="00541FFF">
      <w:pPr>
        <w:spacing w:line="240" w:lineRule="auto"/>
      </w:pPr>
      <w:r>
        <w:separator/>
      </w:r>
    </w:p>
  </w:endnote>
  <w:endnote w:type="continuationSeparator" w:id="0">
    <w:p w14:paraId="0AE346A4" w14:textId="77777777" w:rsidR="00541FFF" w:rsidRDefault="00541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02E2D" w14:textId="77777777" w:rsidR="004D0BEA" w:rsidRDefault="004D0BE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466505"/>
    </w:sdtPr>
    <w:sdtContent>
      <w:p w14:paraId="22388AE3" w14:textId="77777777" w:rsidR="004D0BEA" w:rsidRDefault="00000000">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A0330" w14:textId="77777777" w:rsidR="00541FFF" w:rsidRDefault="00541FFF">
      <w:r>
        <w:separator/>
      </w:r>
    </w:p>
  </w:footnote>
  <w:footnote w:type="continuationSeparator" w:id="0">
    <w:p w14:paraId="5AB6D188" w14:textId="77777777" w:rsidR="00541FFF" w:rsidRDefault="00541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D786070"/>
    <w:multiLevelType w:val="singleLevel"/>
    <w:tmpl w:val="ED786070"/>
    <w:lvl w:ilvl="0">
      <w:start w:val="1"/>
      <w:numFmt w:val="decimal"/>
      <w:suff w:val="nothing"/>
      <w:lvlText w:val="（%1）"/>
      <w:lvlJc w:val="left"/>
    </w:lvl>
  </w:abstractNum>
  <w:abstractNum w:abstractNumId="1" w15:restartNumberingAfterBreak="0">
    <w:nsid w:val="01AD6F38"/>
    <w:multiLevelType w:val="multilevel"/>
    <w:tmpl w:val="F6A6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90A91"/>
    <w:multiLevelType w:val="multilevel"/>
    <w:tmpl w:val="2E390A91"/>
    <w:lvl w:ilvl="0">
      <w:start w:val="1"/>
      <w:numFmt w:val="chineseCountingThousand"/>
      <w:pStyle w:val="a"/>
      <w:suff w:val="space"/>
      <w:lvlText w:val="%1、"/>
      <w:lvlJc w:val="left"/>
      <w:pPr>
        <w:ind w:left="440" w:hanging="440"/>
      </w:pPr>
      <w:rPr>
        <w:rFonts w:hint="eastAsia"/>
        <w:spacing w:val="0"/>
        <w:position w:val="0"/>
      </w:rPr>
    </w:lvl>
    <w:lvl w:ilvl="1">
      <w:start w:val="1"/>
      <w:numFmt w:val="decimal"/>
      <w:pStyle w:val="a0"/>
      <w:isLgl/>
      <w:suff w:val="space"/>
      <w:lvlText w:val="%1.%2"/>
      <w:lvlJc w:val="left"/>
      <w:pPr>
        <w:ind w:left="442" w:hanging="442"/>
      </w:pPr>
      <w:rPr>
        <w:rFonts w:hint="eastAsia"/>
      </w:rPr>
    </w:lvl>
    <w:lvl w:ilvl="2">
      <w:start w:val="1"/>
      <w:numFmt w:val="decimal"/>
      <w:pStyle w:val="3"/>
      <w:isLgl/>
      <w:suff w:val="space"/>
      <w:lvlText w:val="%1.%2.%3"/>
      <w:lvlJc w:val="left"/>
      <w:pPr>
        <w:ind w:left="442" w:hanging="442"/>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 w15:restartNumberingAfterBreak="0">
    <w:nsid w:val="34679724"/>
    <w:multiLevelType w:val="singleLevel"/>
    <w:tmpl w:val="34679724"/>
    <w:lvl w:ilvl="0">
      <w:start w:val="1"/>
      <w:numFmt w:val="decimal"/>
      <w:suff w:val="nothing"/>
      <w:lvlText w:val="（%1）"/>
      <w:lvlJc w:val="left"/>
    </w:lvl>
  </w:abstractNum>
  <w:abstractNum w:abstractNumId="4" w15:restartNumberingAfterBreak="0">
    <w:nsid w:val="7E977124"/>
    <w:multiLevelType w:val="singleLevel"/>
    <w:tmpl w:val="7E977124"/>
    <w:lvl w:ilvl="0">
      <w:start w:val="1"/>
      <w:numFmt w:val="decimal"/>
      <w:suff w:val="nothing"/>
      <w:lvlText w:val="（%1）"/>
      <w:lvlJc w:val="left"/>
    </w:lvl>
  </w:abstractNum>
  <w:num w:numId="1" w16cid:durableId="1143886366">
    <w:abstractNumId w:val="2"/>
  </w:num>
  <w:num w:numId="2" w16cid:durableId="1343317767">
    <w:abstractNumId w:val="3"/>
  </w:num>
  <w:num w:numId="3" w16cid:durableId="1655403523">
    <w:abstractNumId w:val="0"/>
  </w:num>
  <w:num w:numId="4" w16cid:durableId="1040277401">
    <w:abstractNumId w:val="4"/>
  </w:num>
  <w:num w:numId="5" w16cid:durableId="1174340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889"/>
    <w:rsid w:val="00034977"/>
    <w:rsid w:val="00052860"/>
    <w:rsid w:val="00097F60"/>
    <w:rsid w:val="000A1B88"/>
    <w:rsid w:val="000B3913"/>
    <w:rsid w:val="000F7C7D"/>
    <w:rsid w:val="00105F06"/>
    <w:rsid w:val="00117F3D"/>
    <w:rsid w:val="00131EFE"/>
    <w:rsid w:val="001768A2"/>
    <w:rsid w:val="00192C95"/>
    <w:rsid w:val="001A5316"/>
    <w:rsid w:val="001D66E4"/>
    <w:rsid w:val="001E7B0D"/>
    <w:rsid w:val="00206BF6"/>
    <w:rsid w:val="002104DE"/>
    <w:rsid w:val="002610E1"/>
    <w:rsid w:val="00267530"/>
    <w:rsid w:val="0027738E"/>
    <w:rsid w:val="00283A08"/>
    <w:rsid w:val="002A1784"/>
    <w:rsid w:val="002A6993"/>
    <w:rsid w:val="002D6D49"/>
    <w:rsid w:val="002F05CB"/>
    <w:rsid w:val="002F66C6"/>
    <w:rsid w:val="002F7207"/>
    <w:rsid w:val="002F78DC"/>
    <w:rsid w:val="003062CC"/>
    <w:rsid w:val="00314616"/>
    <w:rsid w:val="00366943"/>
    <w:rsid w:val="003675D9"/>
    <w:rsid w:val="00380E59"/>
    <w:rsid w:val="00391651"/>
    <w:rsid w:val="003A03C8"/>
    <w:rsid w:val="003B2643"/>
    <w:rsid w:val="003C5AE5"/>
    <w:rsid w:val="00442A6B"/>
    <w:rsid w:val="004461C4"/>
    <w:rsid w:val="00446F9D"/>
    <w:rsid w:val="00452EFB"/>
    <w:rsid w:val="00482719"/>
    <w:rsid w:val="004C18C0"/>
    <w:rsid w:val="004C2189"/>
    <w:rsid w:val="004C2CD9"/>
    <w:rsid w:val="004D0BEA"/>
    <w:rsid w:val="00524245"/>
    <w:rsid w:val="00541FFF"/>
    <w:rsid w:val="00545EF9"/>
    <w:rsid w:val="00555091"/>
    <w:rsid w:val="0057730F"/>
    <w:rsid w:val="005A39DB"/>
    <w:rsid w:val="005B67F3"/>
    <w:rsid w:val="005C37C7"/>
    <w:rsid w:val="005C55C2"/>
    <w:rsid w:val="005F3CB5"/>
    <w:rsid w:val="00612536"/>
    <w:rsid w:val="00627718"/>
    <w:rsid w:val="00630393"/>
    <w:rsid w:val="00633DB6"/>
    <w:rsid w:val="0065246A"/>
    <w:rsid w:val="00685A01"/>
    <w:rsid w:val="00696047"/>
    <w:rsid w:val="006F4BA9"/>
    <w:rsid w:val="006F4BD3"/>
    <w:rsid w:val="00706DE7"/>
    <w:rsid w:val="00716175"/>
    <w:rsid w:val="007171DE"/>
    <w:rsid w:val="00730FFF"/>
    <w:rsid w:val="00741225"/>
    <w:rsid w:val="007415D3"/>
    <w:rsid w:val="00755DF3"/>
    <w:rsid w:val="00766CAD"/>
    <w:rsid w:val="00775EE6"/>
    <w:rsid w:val="00780F43"/>
    <w:rsid w:val="007A37E4"/>
    <w:rsid w:val="007B7CA6"/>
    <w:rsid w:val="007C4482"/>
    <w:rsid w:val="007C46F0"/>
    <w:rsid w:val="007D4577"/>
    <w:rsid w:val="007E123D"/>
    <w:rsid w:val="007E1C67"/>
    <w:rsid w:val="007E56C9"/>
    <w:rsid w:val="007E613A"/>
    <w:rsid w:val="0081761A"/>
    <w:rsid w:val="0083057B"/>
    <w:rsid w:val="00865518"/>
    <w:rsid w:val="00866FEF"/>
    <w:rsid w:val="00883ACF"/>
    <w:rsid w:val="00890D8B"/>
    <w:rsid w:val="00897175"/>
    <w:rsid w:val="008A7C7A"/>
    <w:rsid w:val="008C07FE"/>
    <w:rsid w:val="008D15F1"/>
    <w:rsid w:val="008E322D"/>
    <w:rsid w:val="00905922"/>
    <w:rsid w:val="00905A5E"/>
    <w:rsid w:val="00911043"/>
    <w:rsid w:val="009134D5"/>
    <w:rsid w:val="009262D2"/>
    <w:rsid w:val="00941985"/>
    <w:rsid w:val="009424C0"/>
    <w:rsid w:val="00946D46"/>
    <w:rsid w:val="00957F80"/>
    <w:rsid w:val="0098093A"/>
    <w:rsid w:val="009B6645"/>
    <w:rsid w:val="00A02C8D"/>
    <w:rsid w:val="00A2737F"/>
    <w:rsid w:val="00A32FFD"/>
    <w:rsid w:val="00A375CA"/>
    <w:rsid w:val="00A506D1"/>
    <w:rsid w:val="00A523C8"/>
    <w:rsid w:val="00A5280A"/>
    <w:rsid w:val="00A52CB8"/>
    <w:rsid w:val="00A54F32"/>
    <w:rsid w:val="00A62B5A"/>
    <w:rsid w:val="00A64654"/>
    <w:rsid w:val="00AA5700"/>
    <w:rsid w:val="00AD531C"/>
    <w:rsid w:val="00AE0DCA"/>
    <w:rsid w:val="00AE4FE0"/>
    <w:rsid w:val="00B161F0"/>
    <w:rsid w:val="00B51459"/>
    <w:rsid w:val="00B603A2"/>
    <w:rsid w:val="00B93218"/>
    <w:rsid w:val="00BB3AAD"/>
    <w:rsid w:val="00BB6FC4"/>
    <w:rsid w:val="00BC109D"/>
    <w:rsid w:val="00BF5431"/>
    <w:rsid w:val="00C0252E"/>
    <w:rsid w:val="00C3258A"/>
    <w:rsid w:val="00C44EC7"/>
    <w:rsid w:val="00C75100"/>
    <w:rsid w:val="00C80709"/>
    <w:rsid w:val="00C822DD"/>
    <w:rsid w:val="00C92C87"/>
    <w:rsid w:val="00D17C5E"/>
    <w:rsid w:val="00D2560B"/>
    <w:rsid w:val="00D3774F"/>
    <w:rsid w:val="00D37D8D"/>
    <w:rsid w:val="00D41A3C"/>
    <w:rsid w:val="00D44643"/>
    <w:rsid w:val="00D50660"/>
    <w:rsid w:val="00D54414"/>
    <w:rsid w:val="00D80DAB"/>
    <w:rsid w:val="00D9293F"/>
    <w:rsid w:val="00DE2EA7"/>
    <w:rsid w:val="00E02FCC"/>
    <w:rsid w:val="00E36518"/>
    <w:rsid w:val="00E36F38"/>
    <w:rsid w:val="00E45967"/>
    <w:rsid w:val="00E53D30"/>
    <w:rsid w:val="00E56689"/>
    <w:rsid w:val="00E60D2C"/>
    <w:rsid w:val="00E738EB"/>
    <w:rsid w:val="00E76D70"/>
    <w:rsid w:val="00E772B8"/>
    <w:rsid w:val="00E955C6"/>
    <w:rsid w:val="00EA399F"/>
    <w:rsid w:val="00EB493D"/>
    <w:rsid w:val="00EE169E"/>
    <w:rsid w:val="00EE4BD7"/>
    <w:rsid w:val="00EE6125"/>
    <w:rsid w:val="00F14F39"/>
    <w:rsid w:val="00F16889"/>
    <w:rsid w:val="00F62947"/>
    <w:rsid w:val="00F85629"/>
    <w:rsid w:val="00F85ACF"/>
    <w:rsid w:val="00F97844"/>
    <w:rsid w:val="00FA2B58"/>
    <w:rsid w:val="00FB1B64"/>
    <w:rsid w:val="00FC64B2"/>
    <w:rsid w:val="00FD054D"/>
    <w:rsid w:val="00FD2748"/>
    <w:rsid w:val="00FD5C20"/>
    <w:rsid w:val="00FE4C59"/>
    <w:rsid w:val="00FF3BAD"/>
    <w:rsid w:val="03464A5E"/>
    <w:rsid w:val="1B2A271F"/>
    <w:rsid w:val="2DD218DC"/>
    <w:rsid w:val="304B2882"/>
    <w:rsid w:val="40F9442C"/>
    <w:rsid w:val="5B2810D3"/>
    <w:rsid w:val="5BA84854"/>
    <w:rsid w:val="6275463F"/>
    <w:rsid w:val="62E540B0"/>
    <w:rsid w:val="6E1D127F"/>
    <w:rsid w:val="6E3902D9"/>
    <w:rsid w:val="757B095A"/>
    <w:rsid w:val="77177EBE"/>
    <w:rsid w:val="79E47455"/>
    <w:rsid w:val="7ACC4AC6"/>
    <w:rsid w:val="7B5E2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5E16F7"/>
  <w15:docId w15:val="{EEFE7790-5B14-4FBB-ABED-E2882AE7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line="360" w:lineRule="auto"/>
      <w:jc w:val="both"/>
    </w:pPr>
    <w:rPr>
      <w:kern w:val="2"/>
      <w:sz w:val="24"/>
    </w:rPr>
  </w:style>
  <w:style w:type="paragraph" w:styleId="1">
    <w:name w:val="heading 1"/>
    <w:basedOn w:val="a1"/>
    <w:next w:val="a1"/>
    <w:link w:val="10"/>
    <w:uiPriority w:val="9"/>
    <w:qFormat/>
    <w:pPr>
      <w:keepNext/>
      <w:keepLines/>
      <w:spacing w:before="340" w:after="330" w:line="578" w:lineRule="auto"/>
      <w:outlineLvl w:val="0"/>
    </w:pPr>
    <w:rPr>
      <w:rFonts w:eastAsia="黑体"/>
      <w:b/>
      <w:bCs/>
      <w:kern w:val="44"/>
      <w:sz w:val="28"/>
      <w:szCs w:val="44"/>
    </w:rPr>
  </w:style>
  <w:style w:type="paragraph" w:styleId="2">
    <w:name w:val="heading 2"/>
    <w:basedOn w:val="a1"/>
    <w:next w:val="a1"/>
    <w:uiPriority w:val="9"/>
    <w:unhideWhenUsed/>
    <w:qFormat/>
    <w:pPr>
      <w:keepNext/>
      <w:keepLines/>
      <w:spacing w:before="260" w:after="260" w:line="413" w:lineRule="auto"/>
      <w:outlineLvl w:val="1"/>
    </w:pPr>
    <w:rPr>
      <w:rFonts w:ascii="Arial" w:eastAsia="黑体" w:hAnsi="Arial"/>
      <w:b/>
    </w:rPr>
  </w:style>
  <w:style w:type="paragraph" w:styleId="3">
    <w:name w:val="heading 3"/>
    <w:basedOn w:val="a1"/>
    <w:next w:val="a1"/>
    <w:link w:val="30"/>
    <w:qFormat/>
    <w:rsid w:val="002F66C6"/>
    <w:pPr>
      <w:keepNext/>
      <w:keepLines/>
      <w:numPr>
        <w:ilvl w:val="2"/>
        <w:numId w:val="1"/>
      </w:numPr>
      <w:spacing w:before="260" w:line="240" w:lineRule="auto"/>
      <w:outlineLvl w:val="2"/>
    </w:pPr>
    <w:rPr>
      <w:b/>
      <w:bCs/>
      <w:szCs w:val="32"/>
    </w:rPr>
  </w:style>
  <w:style w:type="paragraph" w:styleId="4">
    <w:name w:val="heading 4"/>
    <w:basedOn w:val="a1"/>
    <w:next w:val="a1"/>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0"/>
    <w:uiPriority w:val="9"/>
    <w:semiHidden/>
    <w:unhideWhenUsed/>
    <w:qFormat/>
    <w:pPr>
      <w:keepNext/>
      <w:keepLines/>
      <w:spacing w:before="280" w:after="290" w:line="376" w:lineRule="auto"/>
      <w:outlineLvl w:val="4"/>
    </w:pPr>
    <w:rPr>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link w:val="a6"/>
    <w:qFormat/>
    <w:pPr>
      <w:ind w:firstLine="420"/>
    </w:pPr>
  </w:style>
  <w:style w:type="paragraph" w:styleId="TOC3">
    <w:name w:val="toc 3"/>
    <w:basedOn w:val="a1"/>
    <w:next w:val="a1"/>
    <w:autoRedefine/>
    <w:uiPriority w:val="39"/>
    <w:unhideWhenUsed/>
    <w:qFormat/>
    <w:rsid w:val="002F66C6"/>
    <w:pPr>
      <w:tabs>
        <w:tab w:val="right" w:leader="dot" w:pos="8296"/>
      </w:tabs>
      <w:ind w:leftChars="400" w:left="400"/>
      <w:jc w:val="left"/>
    </w:pPr>
    <w:rPr>
      <w:bCs/>
      <w:szCs w:val="28"/>
    </w:rPr>
  </w:style>
  <w:style w:type="paragraph" w:styleId="a7">
    <w:name w:val="footer"/>
    <w:basedOn w:val="a1"/>
    <w:link w:val="a8"/>
    <w:uiPriority w:val="99"/>
    <w:unhideWhenUsed/>
    <w:qFormat/>
    <w:pPr>
      <w:tabs>
        <w:tab w:val="center" w:pos="4153"/>
        <w:tab w:val="right" w:pos="8306"/>
      </w:tabs>
      <w:snapToGrid w:val="0"/>
      <w:jc w:val="left"/>
    </w:pPr>
    <w:rPr>
      <w:sz w:val="18"/>
      <w:szCs w:val="18"/>
    </w:rPr>
  </w:style>
  <w:style w:type="paragraph" w:styleId="a9">
    <w:name w:val="header"/>
    <w:basedOn w:val="a1"/>
    <w:link w:val="aa"/>
    <w:uiPriority w:val="99"/>
    <w:unhideWhenUsed/>
    <w:qFormat/>
    <w:pPr>
      <w:tabs>
        <w:tab w:val="center" w:pos="4153"/>
        <w:tab w:val="right" w:pos="8306"/>
      </w:tabs>
      <w:snapToGrid w:val="0"/>
      <w:jc w:val="center"/>
    </w:pPr>
    <w:rPr>
      <w:sz w:val="18"/>
      <w:szCs w:val="18"/>
    </w:rPr>
  </w:style>
  <w:style w:type="paragraph" w:styleId="TOC1">
    <w:name w:val="toc 1"/>
    <w:basedOn w:val="a1"/>
    <w:next w:val="a1"/>
    <w:autoRedefine/>
    <w:uiPriority w:val="39"/>
    <w:unhideWhenUsed/>
    <w:qFormat/>
    <w:rsid w:val="002F66C6"/>
    <w:pPr>
      <w:tabs>
        <w:tab w:val="right" w:leader="dot" w:pos="8296"/>
      </w:tabs>
    </w:pPr>
  </w:style>
  <w:style w:type="paragraph" w:styleId="TOC2">
    <w:name w:val="toc 2"/>
    <w:basedOn w:val="a1"/>
    <w:next w:val="a1"/>
    <w:autoRedefine/>
    <w:uiPriority w:val="39"/>
    <w:unhideWhenUsed/>
    <w:qFormat/>
    <w:rsid w:val="002F66C6"/>
    <w:pPr>
      <w:ind w:leftChars="200" w:left="420"/>
    </w:pPr>
  </w:style>
  <w:style w:type="paragraph" w:styleId="ab">
    <w:name w:val="Normal (Web)"/>
    <w:basedOn w:val="a1"/>
    <w:uiPriority w:val="99"/>
    <w:semiHidden/>
    <w:unhideWhenUsed/>
    <w:qFormat/>
    <w:rPr>
      <w:szCs w:val="24"/>
    </w:rPr>
  </w:style>
  <w:style w:type="table" w:styleId="ac">
    <w:name w:val="Table Grid"/>
    <w:basedOn w:val="a3"/>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2"/>
    <w:uiPriority w:val="22"/>
    <w:qFormat/>
    <w:rPr>
      <w:b/>
    </w:rPr>
  </w:style>
  <w:style w:type="character" w:styleId="ae">
    <w:name w:val="page number"/>
    <w:basedOn w:val="a2"/>
    <w:qFormat/>
  </w:style>
  <w:style w:type="character" w:styleId="af">
    <w:name w:val="FollowedHyperlink"/>
    <w:basedOn w:val="a2"/>
    <w:uiPriority w:val="99"/>
    <w:semiHidden/>
    <w:unhideWhenUsed/>
    <w:qFormat/>
    <w:rPr>
      <w:color w:val="954F72" w:themeColor="followedHyperlink"/>
      <w:u w:val="single"/>
    </w:rPr>
  </w:style>
  <w:style w:type="character" w:styleId="af0">
    <w:name w:val="Hyperlink"/>
    <w:basedOn w:val="a2"/>
    <w:uiPriority w:val="99"/>
    <w:unhideWhenUsed/>
    <w:qFormat/>
    <w:rPr>
      <w:color w:val="0563C1" w:themeColor="hyperlink"/>
      <w:u w:val="single"/>
    </w:rPr>
  </w:style>
  <w:style w:type="character" w:customStyle="1" w:styleId="aa">
    <w:name w:val="页眉 字符"/>
    <w:basedOn w:val="a2"/>
    <w:link w:val="a9"/>
    <w:uiPriority w:val="99"/>
    <w:qFormat/>
    <w:rPr>
      <w:sz w:val="18"/>
      <w:szCs w:val="18"/>
    </w:rPr>
  </w:style>
  <w:style w:type="character" w:customStyle="1" w:styleId="a8">
    <w:name w:val="页脚 字符"/>
    <w:basedOn w:val="a2"/>
    <w:link w:val="a7"/>
    <w:uiPriority w:val="99"/>
    <w:qFormat/>
    <w:rPr>
      <w:sz w:val="18"/>
      <w:szCs w:val="18"/>
    </w:rPr>
  </w:style>
  <w:style w:type="character" w:customStyle="1" w:styleId="30">
    <w:name w:val="标题 3 字符"/>
    <w:basedOn w:val="a2"/>
    <w:link w:val="3"/>
    <w:qFormat/>
    <w:rsid w:val="002F66C6"/>
    <w:rPr>
      <w:b/>
      <w:bCs/>
      <w:kern w:val="2"/>
      <w:sz w:val="24"/>
      <w:szCs w:val="32"/>
    </w:rPr>
  </w:style>
  <w:style w:type="paragraph" w:customStyle="1" w:styleId="a">
    <w:name w:val="标题一"/>
    <w:basedOn w:val="a1"/>
    <w:link w:val="af1"/>
    <w:qFormat/>
    <w:pPr>
      <w:numPr>
        <w:numId w:val="1"/>
      </w:numPr>
      <w:spacing w:beforeLines="100" w:before="100"/>
      <w:ind w:left="442" w:hanging="442"/>
      <w:outlineLvl w:val="0"/>
    </w:pPr>
    <w:rPr>
      <w:b/>
      <w:bCs/>
      <w:sz w:val="30"/>
    </w:rPr>
  </w:style>
  <w:style w:type="character" w:customStyle="1" w:styleId="af1">
    <w:name w:val="标题一 字符"/>
    <w:basedOn w:val="a2"/>
    <w:link w:val="a"/>
    <w:qFormat/>
    <w:rPr>
      <w:rFonts w:ascii="Times New Roman" w:eastAsia="宋体" w:hAnsi="Times New Roman" w:cs="Times New Roman"/>
      <w:b/>
      <w:bCs/>
      <w:sz w:val="30"/>
      <w:szCs w:val="20"/>
      <w14:ligatures w14:val="none"/>
    </w:rPr>
  </w:style>
  <w:style w:type="paragraph" w:customStyle="1" w:styleId="a0">
    <w:name w:val="标题二"/>
    <w:basedOn w:val="a"/>
    <w:next w:val="11"/>
    <w:link w:val="af2"/>
    <w:qFormat/>
    <w:pPr>
      <w:numPr>
        <w:ilvl w:val="1"/>
      </w:numPr>
      <w:spacing w:beforeLines="50" w:before="50"/>
      <w:outlineLvl w:val="1"/>
    </w:pPr>
    <w:rPr>
      <w:sz w:val="28"/>
    </w:rPr>
  </w:style>
  <w:style w:type="paragraph" w:customStyle="1" w:styleId="11">
    <w:name w:val="正文1"/>
    <w:basedOn w:val="a5"/>
    <w:link w:val="12"/>
    <w:qFormat/>
    <w:pPr>
      <w:snapToGrid w:val="0"/>
      <w:ind w:firstLineChars="200" w:firstLine="200"/>
    </w:pPr>
  </w:style>
  <w:style w:type="character" w:customStyle="1" w:styleId="af2">
    <w:name w:val="标题二 字符"/>
    <w:basedOn w:val="af1"/>
    <w:link w:val="a0"/>
    <w:qFormat/>
    <w:rPr>
      <w:rFonts w:ascii="Times New Roman" w:eastAsia="宋体" w:hAnsi="Times New Roman" w:cs="Times New Roman"/>
      <w:b/>
      <w:bCs/>
      <w:sz w:val="28"/>
      <w:szCs w:val="20"/>
      <w14:ligatures w14:val="none"/>
    </w:rPr>
  </w:style>
  <w:style w:type="character" w:customStyle="1" w:styleId="a6">
    <w:name w:val="正文缩进 字符"/>
    <w:basedOn w:val="a2"/>
    <w:link w:val="a5"/>
    <w:qFormat/>
    <w:rPr>
      <w:rFonts w:ascii="Times New Roman" w:eastAsia="宋体" w:hAnsi="Times New Roman" w:cs="Times New Roman"/>
      <w:szCs w:val="20"/>
      <w14:ligatures w14:val="none"/>
    </w:rPr>
  </w:style>
  <w:style w:type="character" w:customStyle="1" w:styleId="12">
    <w:name w:val="正文1 字符"/>
    <w:basedOn w:val="a6"/>
    <w:link w:val="11"/>
    <w:qFormat/>
    <w:rPr>
      <w:rFonts w:ascii="Times New Roman" w:eastAsia="宋体" w:hAnsi="Times New Roman" w:cs="Times New Roman"/>
      <w:kern w:val="2"/>
      <w:sz w:val="24"/>
      <w:szCs w:val="20"/>
      <w14:ligatures w14:val="none"/>
    </w:rPr>
  </w:style>
  <w:style w:type="paragraph" w:customStyle="1" w:styleId="af3">
    <w:name w:val="图表标题"/>
    <w:basedOn w:val="a5"/>
    <w:link w:val="af4"/>
    <w:qFormat/>
    <w:pPr>
      <w:spacing w:afterLines="50" w:after="50"/>
      <w:jc w:val="center"/>
    </w:pPr>
    <w:rPr>
      <w:b/>
      <w:bCs/>
      <w:sz w:val="21"/>
    </w:rPr>
  </w:style>
  <w:style w:type="character" w:customStyle="1" w:styleId="af4">
    <w:name w:val="图表标题 字符"/>
    <w:basedOn w:val="a6"/>
    <w:link w:val="af3"/>
    <w:qFormat/>
    <w:rPr>
      <w:rFonts w:ascii="Times New Roman" w:eastAsia="宋体" w:hAnsi="Times New Roman" w:cs="Times New Roman"/>
      <w:b/>
      <w:bCs/>
      <w:kern w:val="2"/>
      <w:sz w:val="21"/>
      <w:szCs w:val="20"/>
      <w14:ligatures w14:val="none"/>
    </w:rPr>
  </w:style>
  <w:style w:type="character" w:customStyle="1" w:styleId="10">
    <w:name w:val="标题 1 字符"/>
    <w:basedOn w:val="a2"/>
    <w:link w:val="1"/>
    <w:uiPriority w:val="9"/>
    <w:qFormat/>
    <w:rPr>
      <w:rFonts w:ascii="Times New Roman" w:eastAsia="黑体" w:hAnsi="Times New Roman" w:cs="Times New Roman"/>
      <w:b/>
      <w:bCs/>
      <w:kern w:val="44"/>
      <w:sz w:val="28"/>
      <w:szCs w:val="44"/>
      <w14:ligatures w14:val="none"/>
    </w:rPr>
  </w:style>
  <w:style w:type="paragraph" w:customStyle="1" w:styleId="TOC10">
    <w:name w:val="TOC 标题1"/>
    <w:basedOn w:val="1"/>
    <w:next w:val="a1"/>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MTDisplayEquation">
    <w:name w:val="MTDisplayEquation"/>
    <w:basedOn w:val="11"/>
    <w:next w:val="a1"/>
    <w:link w:val="MTDisplayEquation0"/>
    <w:qFormat/>
    <w:pPr>
      <w:tabs>
        <w:tab w:val="center" w:pos="4160"/>
        <w:tab w:val="right" w:pos="8300"/>
      </w:tabs>
      <w:ind w:firstLine="480"/>
    </w:pPr>
  </w:style>
  <w:style w:type="character" w:customStyle="1" w:styleId="MTDisplayEquation0">
    <w:name w:val="MTDisplayEquation 字符"/>
    <w:basedOn w:val="12"/>
    <w:link w:val="MTDisplayEquation"/>
    <w:qFormat/>
    <w:rPr>
      <w:rFonts w:ascii="Times New Roman" w:eastAsia="宋体" w:hAnsi="Times New Roman" w:cs="Times New Roman"/>
      <w:kern w:val="2"/>
      <w:sz w:val="24"/>
      <w:szCs w:val="20"/>
      <w14:ligatures w14:val="none"/>
    </w:rPr>
  </w:style>
  <w:style w:type="character" w:customStyle="1" w:styleId="40">
    <w:name w:val="标题 4 字符"/>
    <w:basedOn w:val="a2"/>
    <w:link w:val="4"/>
    <w:uiPriority w:val="9"/>
    <w:semiHidden/>
    <w:qFormat/>
    <w:rPr>
      <w:rFonts w:asciiTheme="majorHAnsi" w:eastAsiaTheme="majorEastAsia" w:hAnsiTheme="majorHAnsi" w:cstheme="majorBidi"/>
      <w:b/>
      <w:bCs/>
      <w:sz w:val="28"/>
      <w:szCs w:val="28"/>
      <w14:ligatures w14:val="none"/>
    </w:rPr>
  </w:style>
  <w:style w:type="paragraph" w:customStyle="1" w:styleId="af5">
    <w:name w:val="正正正文"/>
    <w:basedOn w:val="a1"/>
    <w:link w:val="af6"/>
    <w:qFormat/>
    <w:pPr>
      <w:ind w:firstLineChars="200" w:firstLine="200"/>
    </w:pPr>
    <w:rPr>
      <w:lang w:val="de-DE"/>
    </w:rPr>
  </w:style>
  <w:style w:type="character" w:customStyle="1" w:styleId="af6">
    <w:name w:val="正正正文 字符"/>
    <w:link w:val="af5"/>
    <w:qFormat/>
    <w:rPr>
      <w:rFonts w:ascii="Times New Roman" w:eastAsia="宋体" w:hAnsi="Times New Roman" w:cs="Times New Roman"/>
      <w:szCs w:val="20"/>
      <w:lang w:val="de-DE"/>
      <w14:ligatures w14:val="none"/>
    </w:rPr>
  </w:style>
  <w:style w:type="character" w:customStyle="1" w:styleId="50">
    <w:name w:val="标题 5 字符"/>
    <w:basedOn w:val="a2"/>
    <w:link w:val="5"/>
    <w:uiPriority w:val="9"/>
    <w:semiHidden/>
    <w:qFormat/>
    <w:rPr>
      <w:rFonts w:ascii="Times New Roman" w:eastAsia="宋体" w:hAnsi="Times New Roman" w:cs="Times New Roman"/>
      <w:b/>
      <w:bCs/>
      <w:sz w:val="28"/>
      <w:szCs w:val="28"/>
      <w14:ligatures w14: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TOC">
    <w:name w:val="TOC Heading"/>
    <w:basedOn w:val="1"/>
    <w:next w:val="a1"/>
    <w:uiPriority w:val="39"/>
    <w:unhideWhenUsed/>
    <w:qFormat/>
    <w:rsid w:val="002F66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11855">
      <w:bodyDiv w:val="1"/>
      <w:marLeft w:val="0"/>
      <w:marRight w:val="0"/>
      <w:marTop w:val="0"/>
      <w:marBottom w:val="0"/>
      <w:divBdr>
        <w:top w:val="none" w:sz="0" w:space="0" w:color="auto"/>
        <w:left w:val="none" w:sz="0" w:space="0" w:color="auto"/>
        <w:bottom w:val="none" w:sz="0" w:space="0" w:color="auto"/>
        <w:right w:val="none" w:sz="0" w:space="0" w:color="auto"/>
      </w:divBdr>
    </w:div>
    <w:div w:id="517625176">
      <w:bodyDiv w:val="1"/>
      <w:marLeft w:val="0"/>
      <w:marRight w:val="0"/>
      <w:marTop w:val="0"/>
      <w:marBottom w:val="0"/>
      <w:divBdr>
        <w:top w:val="none" w:sz="0" w:space="0" w:color="auto"/>
        <w:left w:val="none" w:sz="0" w:space="0" w:color="auto"/>
        <w:bottom w:val="none" w:sz="0" w:space="0" w:color="auto"/>
        <w:right w:val="none" w:sz="0" w:space="0" w:color="auto"/>
      </w:divBdr>
    </w:div>
    <w:div w:id="681008731">
      <w:bodyDiv w:val="1"/>
      <w:marLeft w:val="0"/>
      <w:marRight w:val="0"/>
      <w:marTop w:val="0"/>
      <w:marBottom w:val="0"/>
      <w:divBdr>
        <w:top w:val="none" w:sz="0" w:space="0" w:color="auto"/>
        <w:left w:val="none" w:sz="0" w:space="0" w:color="auto"/>
        <w:bottom w:val="none" w:sz="0" w:space="0" w:color="auto"/>
        <w:right w:val="none" w:sz="0" w:space="0" w:color="auto"/>
      </w:divBdr>
    </w:div>
    <w:div w:id="932980084">
      <w:bodyDiv w:val="1"/>
      <w:marLeft w:val="0"/>
      <w:marRight w:val="0"/>
      <w:marTop w:val="0"/>
      <w:marBottom w:val="0"/>
      <w:divBdr>
        <w:top w:val="none" w:sz="0" w:space="0" w:color="auto"/>
        <w:left w:val="none" w:sz="0" w:space="0" w:color="auto"/>
        <w:bottom w:val="none" w:sz="0" w:space="0" w:color="auto"/>
        <w:right w:val="none" w:sz="0" w:space="0" w:color="auto"/>
      </w:divBdr>
    </w:div>
    <w:div w:id="1313019944">
      <w:bodyDiv w:val="1"/>
      <w:marLeft w:val="0"/>
      <w:marRight w:val="0"/>
      <w:marTop w:val="0"/>
      <w:marBottom w:val="0"/>
      <w:divBdr>
        <w:top w:val="none" w:sz="0" w:space="0" w:color="auto"/>
        <w:left w:val="none" w:sz="0" w:space="0" w:color="auto"/>
        <w:bottom w:val="none" w:sz="0" w:space="0" w:color="auto"/>
        <w:right w:val="none" w:sz="0" w:space="0" w:color="auto"/>
      </w:divBdr>
    </w:div>
    <w:div w:id="1399354447">
      <w:bodyDiv w:val="1"/>
      <w:marLeft w:val="0"/>
      <w:marRight w:val="0"/>
      <w:marTop w:val="0"/>
      <w:marBottom w:val="0"/>
      <w:divBdr>
        <w:top w:val="none" w:sz="0" w:space="0" w:color="auto"/>
        <w:left w:val="none" w:sz="0" w:space="0" w:color="auto"/>
        <w:bottom w:val="none" w:sz="0" w:space="0" w:color="auto"/>
        <w:right w:val="none" w:sz="0" w:space="0" w:color="auto"/>
      </w:divBdr>
    </w:div>
    <w:div w:id="1567299665">
      <w:bodyDiv w:val="1"/>
      <w:marLeft w:val="0"/>
      <w:marRight w:val="0"/>
      <w:marTop w:val="0"/>
      <w:marBottom w:val="0"/>
      <w:divBdr>
        <w:top w:val="none" w:sz="0" w:space="0" w:color="auto"/>
        <w:left w:val="none" w:sz="0" w:space="0" w:color="auto"/>
        <w:bottom w:val="none" w:sz="0" w:space="0" w:color="auto"/>
        <w:right w:val="none" w:sz="0" w:space="0" w:color="auto"/>
      </w:divBdr>
    </w:div>
    <w:div w:id="1590968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1015A-5CB4-4948-950B-324045D7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5903</Words>
  <Characters>6200</Characters>
  <Application>Microsoft Office Word</Application>
  <DocSecurity>0</DocSecurity>
  <Lines>295</Lines>
  <Paragraphs>268</Paragraphs>
  <ScaleCrop>false</ScaleCrop>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y</dc:creator>
  <cp:lastModifiedBy>x y</cp:lastModifiedBy>
  <cp:revision>4</cp:revision>
  <cp:lastPrinted>2025-03-16T08:21:00Z</cp:lastPrinted>
  <dcterms:created xsi:type="dcterms:W3CDTF">2025-03-27T14:10:00Z</dcterms:created>
  <dcterms:modified xsi:type="dcterms:W3CDTF">2025-04-12T09:54:00Z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eyJoZGlkIjoiZWMyNmM3NzVmNTU0YmVjYzliNDMwOGE2ZmY3MmEwNmQiLCJ1c2VySWQiOiI0NzAxNzU4NTEifQ==</vt:lpwstr>
  </property>
  <property fmtid="{D5CDD505-2E9C-101B-9397-08002B2CF9AE}" pid="4" name="KSOProductBuildVer">
    <vt:lpwstr>2052-12.1.0.20305</vt:lpwstr>
  </property>
  <property fmtid="{D5CDD505-2E9C-101B-9397-08002B2CF9AE}" pid="5" name="ICV">
    <vt:lpwstr>817C8B0AD111490E8557938CE8E6AB4C_13</vt:lpwstr>
  </property>
</Properties>
</file>