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663298">
      <w:pPr>
        <w:jc w:val="center"/>
        <w:rPr>
          <w:rFonts w:ascii="Times New Roman" w:hAnsi="Times New Roman" w:eastAsia="宋体" w:cs="Times New Roman"/>
          <w:sz w:val="36"/>
          <w:szCs w:val="36"/>
        </w:rPr>
      </w:pPr>
      <w:r>
        <w:rPr>
          <w:rFonts w:ascii="Times New Roman" w:hAnsi="Times New Roman" w:eastAsia="宋体" w:cs="Times New Roman"/>
          <w:sz w:val="36"/>
          <w:szCs w:val="36"/>
        </w:rPr>
        <w:t>北京林业大学year年碳排放报告</w:t>
      </w:r>
    </w:p>
    <w:p w14:paraId="34BE35A8">
      <w:pPr>
        <w:pStyle w:val="2"/>
        <w:spacing w:before="120" w:after="120" w:line="360" w:lineRule="auto"/>
      </w:pPr>
      <w:r>
        <w:rPr>
          <w:rFonts w:hint="eastAsia"/>
        </w:rPr>
        <w:t>前言</w:t>
      </w:r>
    </w:p>
    <w:p w14:paraId="559AC003">
      <w:pPr>
        <w:spacing w:line="30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在我国碳达峰碳中和目标下，高等教育机构肩负引领社会可持续发展，在双碳战鳍中发挥先锋作用的使命。</w:t>
      </w:r>
    </w:p>
    <w:p w14:paraId="2CC517DF">
      <w:pPr>
        <w:spacing w:line="30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校园碳排放核算是实现校园碳中和进程的重要基础。北京林业大学自主积极参与，扎实推进校园碳中和目标的实现。</w:t>
      </w:r>
    </w:p>
    <w:p w14:paraId="26D1CDC8">
      <w:pPr>
        <w:spacing w:line="30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本报告可作为“零碳校园评价”、“校园可持续发展力排名”、“绿色学校”、“绿色校园评价”等参评的基础资料。</w:t>
      </w:r>
    </w:p>
    <w:p w14:paraId="76B3B797">
      <w:pPr>
        <w:pStyle w:val="2"/>
        <w:spacing w:before="120" w:after="120" w:line="360" w:lineRule="auto"/>
      </w:pPr>
      <w:r>
        <w:rPr>
          <w:rFonts w:hint="eastAsia"/>
        </w:rPr>
        <w:t>一、校园基本情况</w:t>
      </w:r>
    </w:p>
    <w:p w14:paraId="3665EBBC">
      <w:pPr>
        <w:spacing w:line="30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北京林业大学（Beijing Forestry University），位于北京市，教育部直属、教育部与国家林业和草原局、北京市人民政府共建的全国重点大学。</w:t>
      </w:r>
    </w:p>
    <w:p w14:paraId="78D85EEC">
      <w:pPr>
        <w:spacing w:line="30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year</w:t>
      </w:r>
      <w:r>
        <w:rPr>
          <w:rFonts w:hint="eastAsia" w:ascii="Times New Roman" w:hAnsi="Times New Roman" w:eastAsia="宋体" w:cs="Times New Roman"/>
          <w:sz w:val="24"/>
          <w:szCs w:val="24"/>
        </w:rPr>
        <w:t>年，北京林业大学共有师生</w:t>
      </w:r>
      <w:r>
        <w:rPr>
          <w:rFonts w:ascii="Times New Roman" w:hAnsi="Times New Roman" w:eastAsia="宋体" w:cs="Times New Roman"/>
          <w:sz w:val="24"/>
          <w:szCs w:val="24"/>
        </w:rPr>
        <w:t>totalPeople</w:t>
      </w:r>
      <w:r>
        <w:rPr>
          <w:rFonts w:hint="eastAsia" w:ascii="Times New Roman" w:hAnsi="Times New Roman" w:eastAsia="宋体" w:cs="Times New Roman"/>
          <w:sz w:val="24"/>
          <w:szCs w:val="24"/>
        </w:rPr>
        <w:t>人，占地面积6</w:t>
      </w:r>
      <w:r>
        <w:rPr>
          <w:rFonts w:ascii="Times New Roman" w:hAnsi="Times New Roman" w:eastAsia="宋体" w:cs="Times New Roman"/>
          <w:sz w:val="24"/>
          <w:szCs w:val="24"/>
        </w:rPr>
        <w:t>96</w:t>
      </w:r>
      <w:r>
        <w:rPr>
          <w:rFonts w:hint="eastAsia" w:ascii="Times New Roman" w:hAnsi="Times New Roman" w:eastAsia="宋体" w:cs="Times New Roman"/>
          <w:sz w:val="24"/>
          <w:szCs w:val="24"/>
        </w:rPr>
        <w:t>亩。北京林业大学</w:t>
      </w:r>
      <w:r>
        <w:rPr>
          <w:rFonts w:ascii="Times New Roman" w:hAnsi="Times New Roman" w:eastAsia="宋体" w:cs="Times New Roman"/>
          <w:sz w:val="24"/>
          <w:szCs w:val="24"/>
        </w:rPr>
        <w:t>人口密度大，科研、办公、生活等功能多样，包括教室、宿舍、食堂、实验室、办公楼和体育设施，</w:t>
      </w:r>
      <w:r>
        <w:rPr>
          <w:rFonts w:hint="eastAsia" w:ascii="Times New Roman" w:hAnsi="Times New Roman" w:eastAsia="宋体" w:cs="Times New Roman"/>
          <w:sz w:val="24"/>
          <w:szCs w:val="24"/>
        </w:rPr>
        <w:t>拥有</w:t>
      </w:r>
      <w:r>
        <w:rPr>
          <w:rFonts w:ascii="Times New Roman" w:hAnsi="Times New Roman" w:eastAsia="宋体" w:cs="Times New Roman"/>
          <w:sz w:val="24"/>
          <w:szCs w:val="24"/>
        </w:rPr>
        <w:t>广泛的植被</w:t>
      </w:r>
      <w:r>
        <w:rPr>
          <w:rFonts w:hint="eastAsia" w:ascii="Times New Roman" w:hAnsi="Times New Roman" w:eastAsia="宋体" w:cs="Times New Roman"/>
          <w:sz w:val="24"/>
          <w:szCs w:val="24"/>
        </w:rPr>
        <w:t>、</w:t>
      </w:r>
      <w:r>
        <w:rPr>
          <w:rFonts w:ascii="Times New Roman" w:hAnsi="Times New Roman" w:eastAsia="宋体" w:cs="Times New Roman"/>
          <w:sz w:val="24"/>
          <w:szCs w:val="24"/>
        </w:rPr>
        <w:t>绿地和树木</w:t>
      </w:r>
      <w:r>
        <w:rPr>
          <w:rFonts w:hint="eastAsia" w:ascii="Times New Roman" w:hAnsi="Times New Roman" w:eastAsia="宋体" w:cs="Times New Roman"/>
          <w:sz w:val="24"/>
          <w:szCs w:val="24"/>
        </w:rPr>
        <w:t>，校园平面图见图1</w:t>
      </w:r>
      <w:r>
        <w:rPr>
          <w:rFonts w:ascii="Times New Roman" w:hAnsi="Times New Roman" w:eastAsia="宋体" w:cs="Times New Roman"/>
          <w:sz w:val="24"/>
          <w:szCs w:val="24"/>
        </w:rPr>
        <w:t>。</w:t>
      </w:r>
    </w:p>
    <w:p w14:paraId="7081CE10">
      <w:pPr>
        <w:spacing w:line="300" w:lineRule="auto"/>
        <w:ind w:leftChars="-337" w:hanging="708" w:hangingChars="295"/>
        <w:jc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0" distR="0">
            <wp:extent cx="6318250" cy="3829050"/>
            <wp:effectExtent l="0" t="0" r="6350" b="0"/>
            <wp:docPr id="15184224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422409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27553" cy="38343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5F29B4">
      <w:pPr>
        <w:spacing w:line="300" w:lineRule="auto"/>
        <w:ind w:firstLine="420" w:firstLineChars="200"/>
        <w:jc w:val="center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图1</w:t>
      </w:r>
      <w:r>
        <w:rPr>
          <w:rFonts w:ascii="Times New Roman" w:hAnsi="Times New Roman" w:eastAsia="宋体" w:cs="Times New Roman"/>
          <w:szCs w:val="21"/>
        </w:rPr>
        <w:t xml:space="preserve"> </w:t>
      </w:r>
      <w:r>
        <w:rPr>
          <w:rFonts w:hint="eastAsia" w:ascii="Times New Roman" w:hAnsi="Times New Roman" w:eastAsia="宋体" w:cs="Times New Roman"/>
          <w:szCs w:val="21"/>
        </w:rPr>
        <w:t>校园平面图</w:t>
      </w:r>
    </w:p>
    <w:p w14:paraId="557DF00A">
      <w:pPr>
        <w:pStyle w:val="2"/>
        <w:spacing w:before="120" w:after="120" w:line="360" w:lineRule="auto"/>
      </w:pPr>
      <w:r>
        <w:rPr>
          <w:rFonts w:hint="eastAsia"/>
        </w:rPr>
        <w:t>二、碳排放核算范围</w:t>
      </w:r>
    </w:p>
    <w:p w14:paraId="1320DB66">
      <w:pPr>
        <w:spacing w:line="30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根据《工业企业温室气体排放核算与报告指南》</w:t>
      </w:r>
      <w:r>
        <w:rPr>
          <w:rFonts w:ascii="Times New Roman" w:hAnsi="Times New Roman" w:eastAsia="宋体" w:cs="Times New Roman"/>
          <w:sz w:val="24"/>
          <w:szCs w:val="24"/>
        </w:rPr>
        <w:t>，本</w:t>
      </w:r>
      <w:r>
        <w:rPr>
          <w:rFonts w:hint="eastAsia" w:ascii="Times New Roman" w:hAnsi="Times New Roman" w:eastAsia="宋体" w:cs="Times New Roman"/>
          <w:sz w:val="24"/>
          <w:szCs w:val="24"/>
        </w:rPr>
        <w:t>报告</w:t>
      </w:r>
      <w:r>
        <w:rPr>
          <w:rFonts w:ascii="Times New Roman" w:hAnsi="Times New Roman" w:eastAsia="宋体" w:cs="Times New Roman"/>
          <w:sz w:val="24"/>
          <w:szCs w:val="24"/>
        </w:rPr>
        <w:t>明确规定了直接排放（范围1）和间接排放（范围2）的排放要求。具体来说，天然气和</w:t>
      </w:r>
      <w:r>
        <w:rPr>
          <w:rFonts w:hint="eastAsia" w:ascii="Times New Roman" w:hAnsi="Times New Roman" w:eastAsia="宋体" w:cs="Times New Roman"/>
          <w:sz w:val="24"/>
          <w:szCs w:val="24"/>
        </w:rPr>
        <w:t>化石燃料消耗</w:t>
      </w:r>
      <w:r>
        <w:rPr>
          <w:rFonts w:ascii="Times New Roman" w:hAnsi="Times New Roman" w:eastAsia="宋体" w:cs="Times New Roman"/>
          <w:sz w:val="24"/>
          <w:szCs w:val="24"/>
        </w:rPr>
        <w:t>被纳入范围1，而电力和热力被纳入范围2。</w:t>
      </w:r>
      <w:r>
        <w:rPr>
          <w:rFonts w:hint="eastAsia" w:ascii="Times New Roman" w:hAnsi="Times New Roman" w:eastAsia="宋体" w:cs="Times New Roman"/>
          <w:sz w:val="24"/>
          <w:szCs w:val="24"/>
        </w:rPr>
        <w:t>为了计算其他碳排放量，本报告</w:t>
      </w:r>
      <w:r>
        <w:rPr>
          <w:rFonts w:ascii="Times New Roman" w:hAnsi="Times New Roman" w:eastAsia="宋体" w:cs="Times New Roman"/>
          <w:sz w:val="24"/>
          <w:szCs w:val="24"/>
        </w:rPr>
        <w:t>根据相关文献和校园的实际情况考虑了以下排放源：通勤和差旅、食物、</w:t>
      </w:r>
      <w:r>
        <w:rPr>
          <w:rFonts w:hint="eastAsia" w:ascii="Times New Roman" w:hAnsi="Times New Roman" w:eastAsia="宋体" w:cs="Times New Roman"/>
          <w:sz w:val="24"/>
          <w:szCs w:val="24"/>
        </w:rPr>
        <w:t>自来</w:t>
      </w:r>
      <w:r>
        <w:rPr>
          <w:rFonts w:ascii="Times New Roman" w:hAnsi="Times New Roman" w:eastAsia="宋体" w:cs="Times New Roman"/>
          <w:sz w:val="24"/>
          <w:szCs w:val="24"/>
        </w:rPr>
        <w:t>水、污水、纸张、</w:t>
      </w:r>
      <w:r>
        <w:rPr>
          <w:rFonts w:hint="eastAsia" w:ascii="Times New Roman" w:hAnsi="Times New Roman" w:eastAsia="宋体" w:cs="Times New Roman"/>
          <w:sz w:val="24"/>
          <w:szCs w:val="24"/>
        </w:rPr>
        <w:t>打印</w:t>
      </w:r>
      <w:r>
        <w:rPr>
          <w:rFonts w:ascii="Times New Roman" w:hAnsi="Times New Roman" w:eastAsia="宋体" w:cs="Times New Roman"/>
          <w:sz w:val="24"/>
          <w:szCs w:val="24"/>
        </w:rPr>
        <w:t>、垃圾、肥料和实验室化学品。</w:t>
      </w:r>
      <w:r>
        <w:rPr>
          <w:rFonts w:hint="eastAsia" w:ascii="Times New Roman" w:hAnsi="Times New Roman" w:eastAsia="宋体" w:cs="Times New Roman"/>
          <w:sz w:val="24"/>
          <w:szCs w:val="24"/>
        </w:rPr>
        <w:t>碳排放核算范围及核算清单见图</w:t>
      </w:r>
      <w:r>
        <w:rPr>
          <w:rFonts w:ascii="Times New Roman" w:hAnsi="Times New Roman" w:eastAsia="宋体" w:cs="Times New Roman"/>
          <w:sz w:val="24"/>
          <w:szCs w:val="24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</w:rPr>
        <w:t>。</w:t>
      </w:r>
    </w:p>
    <w:p w14:paraId="6CE583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jc w:val="center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inventoryChart</w:t>
      </w:r>
    </w:p>
    <w:p w14:paraId="4A3BA590">
      <w:pPr>
        <w:spacing w:line="300" w:lineRule="auto"/>
        <w:ind w:firstLine="420" w:firstLineChars="200"/>
        <w:jc w:val="center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图</w:t>
      </w:r>
      <w:r>
        <w:rPr>
          <w:rFonts w:ascii="Times New Roman" w:hAnsi="Times New Roman" w:eastAsia="宋体" w:cs="Times New Roman"/>
          <w:szCs w:val="21"/>
        </w:rPr>
        <w:t xml:space="preserve">2 </w:t>
      </w:r>
      <w:r>
        <w:rPr>
          <w:rFonts w:hint="eastAsia" w:ascii="Times New Roman" w:hAnsi="Times New Roman" w:eastAsia="宋体" w:cs="Times New Roman"/>
          <w:szCs w:val="21"/>
        </w:rPr>
        <w:t>校园碳排放核算范围及清单</w:t>
      </w:r>
    </w:p>
    <w:p w14:paraId="540DA5A3">
      <w:pPr>
        <w:pStyle w:val="2"/>
        <w:spacing w:before="120" w:after="120" w:line="360" w:lineRule="auto"/>
      </w:pPr>
      <w:r>
        <w:rPr>
          <w:rFonts w:hint="eastAsia"/>
        </w:rPr>
        <w:t>三、</w:t>
      </w:r>
      <w:r>
        <w:t>碳排放核算结果</w:t>
      </w:r>
    </w:p>
    <w:p w14:paraId="18EC820B">
      <w:pPr>
        <w:pStyle w:val="3"/>
      </w:pPr>
      <w:r>
        <w:rPr>
          <w:rFonts w:hint="eastAsia"/>
        </w:rPr>
        <w:t>3</w:t>
      </w:r>
      <w:r>
        <w:t xml:space="preserve">.1 </w:t>
      </w:r>
      <w:bookmarkStart w:id="0" w:name="_Hlk138149421"/>
      <w:r>
        <w:rPr>
          <w:rFonts w:hint="eastAsia"/>
        </w:rPr>
        <w:t>校园内资源、能源消耗和废弃物产生情况</w:t>
      </w:r>
      <w:bookmarkEnd w:id="0"/>
    </w:p>
    <w:p w14:paraId="3840284B">
      <w:pPr>
        <w:spacing w:line="30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根据校园碳排放核算范围及核算清单，</w:t>
      </w:r>
      <w:bookmarkStart w:id="1" w:name="_Hlk138149494"/>
      <w:r>
        <w:rPr>
          <w:rFonts w:ascii="Times New Roman" w:hAnsi="Times New Roman" w:eastAsia="宋体" w:cs="Times New Roman"/>
          <w:sz w:val="24"/>
          <w:szCs w:val="24"/>
        </w:rPr>
        <w:t>year</w:t>
      </w:r>
      <w:r>
        <w:rPr>
          <w:rFonts w:hint="eastAsia" w:ascii="Times New Roman" w:hAnsi="Times New Roman" w:eastAsia="宋体" w:cs="Times New Roman"/>
          <w:sz w:val="24"/>
          <w:szCs w:val="24"/>
        </w:rPr>
        <w:t>年北京林业大学资源、能源消耗和废弃物产生情况</w:t>
      </w:r>
      <w:bookmarkEnd w:id="1"/>
      <w:r>
        <w:rPr>
          <w:rFonts w:hint="eastAsia" w:ascii="Times New Roman" w:hAnsi="Times New Roman" w:eastAsia="宋体" w:cs="Times New Roman"/>
          <w:sz w:val="24"/>
          <w:szCs w:val="24"/>
        </w:rPr>
        <w:t>见表1。</w:t>
      </w:r>
    </w:p>
    <w:p w14:paraId="70C7B1BE">
      <w:pPr>
        <w:spacing w:line="300" w:lineRule="auto"/>
        <w:ind w:firstLine="420" w:firstLineChars="200"/>
        <w:jc w:val="center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表1</w:t>
      </w:r>
      <w:r>
        <w:rPr>
          <w:rFonts w:ascii="Times New Roman" w:hAnsi="Times New Roman" w:eastAsia="宋体" w:cs="Times New Roman"/>
          <w:szCs w:val="21"/>
        </w:rPr>
        <w:t xml:space="preserve"> year年北京林业大学资源、能源消耗和废弃物产生情况</w:t>
      </w:r>
    </w:p>
    <w:tbl>
      <w:tblPr>
        <w:tblStyle w:val="6"/>
        <w:tblW w:w="825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5"/>
        <w:gridCol w:w="2542"/>
        <w:gridCol w:w="2512"/>
      </w:tblGrid>
      <w:tr w14:paraId="274F767C">
        <w:trPr>
          <w:trHeight w:val="509" w:hRule="atLeast"/>
          <w:jc w:val="center"/>
        </w:trPr>
        <w:tc>
          <w:tcPr>
            <w:tcW w:w="320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00A52F3A">
            <w:pPr>
              <w:widowControl/>
              <w:jc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Cs w:val="21"/>
                <w14:ligatures w14:val="none"/>
              </w:rPr>
              <w:t>参数</w:t>
            </w:r>
          </w:p>
        </w:tc>
        <w:tc>
          <w:tcPr>
            <w:tcW w:w="254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25D63F84">
            <w:pPr>
              <w:widowControl/>
              <w:jc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Cs w:val="21"/>
                <w14:ligatures w14:val="none"/>
              </w:rPr>
              <w:t>数值</w:t>
            </w:r>
          </w:p>
        </w:tc>
        <w:tc>
          <w:tcPr>
            <w:tcW w:w="251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1437222">
            <w:pPr>
              <w:widowControl/>
              <w:jc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Cs w:val="21"/>
                <w14:ligatures w14:val="none"/>
              </w:rPr>
              <w:t>单位</w:t>
            </w:r>
          </w:p>
        </w:tc>
      </w:tr>
      <w:tr w14:paraId="1B67A421">
        <w:trPr>
          <w:trHeight w:val="419" w:hRule="atLeast"/>
          <w:jc w:val="center"/>
        </w:trPr>
        <w:tc>
          <w:tcPr>
            <w:tcW w:w="3205" w:type="dxa"/>
            <w:tcBorders>
              <w:top w:val="single" w:color="000000" w:sz="4" w:space="0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2D5EE25F">
            <w:pPr>
              <w:widowControl/>
              <w:jc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2542" w:type="dxa"/>
            <w:tcBorders>
              <w:top w:val="single" w:color="000000" w:sz="4" w:space="0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41A6145A">
            <w:pPr>
              <w:widowControl/>
              <w:jc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2512" w:type="dxa"/>
            <w:tcBorders>
              <w:top w:val="single" w:color="000000" w:sz="4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3001F75">
            <w:pPr>
              <w:widowControl/>
              <w:jc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Cs w:val="21"/>
                <w14:ligatures w14:val="none"/>
              </w:rPr>
            </w:pPr>
          </w:p>
        </w:tc>
      </w:tr>
    </w:tbl>
    <w:p w14:paraId="34C0DE7E">
      <w:pPr>
        <w:pStyle w:val="3"/>
        <w:rPr>
          <w:rFonts w:hint="eastAsia"/>
        </w:rPr>
      </w:pPr>
    </w:p>
    <w:p w14:paraId="204AD846">
      <w:pPr>
        <w:pStyle w:val="3"/>
      </w:pPr>
      <w:r>
        <w:rPr>
          <w:rFonts w:hint="eastAsia"/>
        </w:rPr>
        <w:t>3</w:t>
      </w:r>
      <w:r>
        <w:t xml:space="preserve">.2 </w:t>
      </w:r>
      <w:r>
        <w:rPr>
          <w:rFonts w:hint="eastAsia"/>
        </w:rPr>
        <w:t>碳排放核算结果</w:t>
      </w:r>
    </w:p>
    <w:p w14:paraId="52CF89E2">
      <w:pPr>
        <w:spacing w:line="30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根据校园资源、能源消耗和废弃物产生情况，通过排放因子法，计算各排放源的排放量。</w:t>
      </w:r>
      <w:r>
        <w:rPr>
          <w:rFonts w:ascii="Times New Roman" w:hAnsi="Times New Roman" w:eastAsia="宋体" w:cs="Times New Roman"/>
          <w:sz w:val="24"/>
          <w:szCs w:val="24"/>
        </w:rPr>
        <w:t>year</w:t>
      </w:r>
      <w:r>
        <w:rPr>
          <w:rFonts w:hint="eastAsia" w:ascii="Times New Roman" w:hAnsi="Times New Roman" w:eastAsia="宋体" w:cs="Times New Roman"/>
          <w:sz w:val="24"/>
          <w:szCs w:val="24"/>
        </w:rPr>
        <w:t>年北京林业大学碳排放总体情况见表2，各排放源碳排放量见表3和图</w:t>
      </w:r>
      <w:r>
        <w:rPr>
          <w:rFonts w:ascii="Times New Roman" w:hAnsi="Times New Roman" w:eastAsia="宋体" w:cs="Times New Roman"/>
          <w:sz w:val="24"/>
          <w:szCs w:val="24"/>
        </w:rPr>
        <w:t>3</w:t>
      </w:r>
      <w:r>
        <w:rPr>
          <w:rFonts w:hint="eastAsia" w:ascii="Times New Roman" w:hAnsi="Times New Roman" w:eastAsia="宋体" w:cs="Times New Roman"/>
          <w:sz w:val="24"/>
          <w:szCs w:val="24"/>
        </w:rPr>
        <w:t>，碳排放构成见图</w:t>
      </w:r>
      <w:r>
        <w:rPr>
          <w:rFonts w:ascii="Times New Roman" w:hAnsi="Times New Roman" w:eastAsia="宋体" w:cs="Times New Roman"/>
          <w:sz w:val="24"/>
          <w:szCs w:val="24"/>
        </w:rPr>
        <w:t>4</w:t>
      </w:r>
      <w:r>
        <w:rPr>
          <w:rFonts w:hint="eastAsia" w:ascii="Times New Roman" w:hAnsi="Times New Roman" w:eastAsia="宋体" w:cs="Times New Roman"/>
          <w:sz w:val="24"/>
          <w:szCs w:val="24"/>
        </w:rPr>
        <w:t>，碳排放流向图见图</w:t>
      </w:r>
      <w:r>
        <w:rPr>
          <w:rFonts w:ascii="Times New Roman" w:hAnsi="Times New Roman" w:eastAsia="宋体" w:cs="Times New Roman"/>
          <w:sz w:val="24"/>
          <w:szCs w:val="24"/>
        </w:rPr>
        <w:t>5</w:t>
      </w:r>
      <w:r>
        <w:rPr>
          <w:rFonts w:hint="eastAsia" w:ascii="Times New Roman" w:hAnsi="Times New Roman" w:eastAsia="宋体" w:cs="Times New Roman"/>
          <w:sz w:val="24"/>
          <w:szCs w:val="24"/>
        </w:rPr>
        <w:t>，碳排放变化趋势（按排放类型）见图</w:t>
      </w:r>
      <w:r>
        <w:rPr>
          <w:rFonts w:ascii="Times New Roman" w:hAnsi="Times New Roman" w:eastAsia="宋体" w:cs="Times New Roman"/>
          <w:sz w:val="24"/>
          <w:szCs w:val="24"/>
        </w:rPr>
        <w:t>6</w:t>
      </w:r>
      <w:r>
        <w:rPr>
          <w:rFonts w:hint="eastAsia" w:ascii="Times New Roman" w:hAnsi="Times New Roman" w:eastAsia="宋体" w:cs="Times New Roman"/>
          <w:sz w:val="24"/>
          <w:szCs w:val="24"/>
        </w:rPr>
        <w:t>，碳排放变化趋势（按排放源）见图</w:t>
      </w:r>
      <w:r>
        <w:rPr>
          <w:rFonts w:ascii="Times New Roman" w:hAnsi="Times New Roman" w:eastAsia="宋体" w:cs="Times New Roman"/>
          <w:sz w:val="24"/>
          <w:szCs w:val="24"/>
        </w:rPr>
        <w:t>7</w:t>
      </w:r>
      <w:r>
        <w:rPr>
          <w:rFonts w:hint="eastAsia" w:ascii="Times New Roman" w:hAnsi="Times New Roman" w:eastAsia="宋体" w:cs="Times New Roman"/>
          <w:sz w:val="24"/>
          <w:szCs w:val="24"/>
        </w:rPr>
        <w:t>。</w:t>
      </w:r>
    </w:p>
    <w:p w14:paraId="7D9643C2">
      <w:pPr>
        <w:spacing w:line="300" w:lineRule="auto"/>
        <w:ind w:firstLine="420" w:firstLineChars="200"/>
        <w:jc w:val="center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表</w:t>
      </w:r>
      <w:r>
        <w:rPr>
          <w:rFonts w:ascii="Times New Roman" w:hAnsi="Times New Roman" w:eastAsia="宋体" w:cs="Times New Roman"/>
          <w:szCs w:val="21"/>
        </w:rPr>
        <w:t>2 year年北京林业大学</w:t>
      </w:r>
      <w:r>
        <w:rPr>
          <w:rFonts w:hint="eastAsia" w:ascii="Times New Roman" w:hAnsi="Times New Roman" w:eastAsia="宋体" w:cs="Times New Roman"/>
          <w:szCs w:val="21"/>
        </w:rPr>
        <w:t>总体碳排放</w:t>
      </w:r>
      <w:r>
        <w:rPr>
          <w:rFonts w:ascii="Times New Roman" w:hAnsi="Times New Roman" w:eastAsia="宋体" w:cs="Times New Roman"/>
          <w:szCs w:val="21"/>
        </w:rPr>
        <w:t>情况</w:t>
      </w:r>
    </w:p>
    <w:tbl>
      <w:tblPr>
        <w:tblStyle w:val="6"/>
        <w:tblW w:w="839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39"/>
        <w:gridCol w:w="4460"/>
      </w:tblGrid>
      <w:tr w14:paraId="524117EC">
        <w:trPr>
          <w:trHeight w:val="511" w:hRule="atLeast"/>
          <w:jc w:val="center"/>
        </w:trPr>
        <w:tc>
          <w:tcPr>
            <w:tcW w:w="3939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shd w:val="clear" w:color="auto" w:fill="auto"/>
            <w:vAlign w:val="center"/>
          </w:tcPr>
          <w:p w14:paraId="01D1D89C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Cs w:val="21"/>
                <w14:ligatures w14:val="none"/>
              </w:rPr>
              <w:t>指标</w:t>
            </w:r>
          </w:p>
        </w:tc>
        <w:tc>
          <w:tcPr>
            <w:tcW w:w="4460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shd w:val="clear" w:color="auto" w:fill="auto"/>
            <w:noWrap/>
            <w:vAlign w:val="center"/>
          </w:tcPr>
          <w:p w14:paraId="6A6F7DFC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Cs w:val="21"/>
                <w14:ligatures w14:val="none"/>
              </w:rPr>
              <w:t>碳排放量/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14:ligatures w14:val="none"/>
              </w:rPr>
              <w:t>tCO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vertAlign w:val="subscript"/>
                <w14:ligatures w14:val="none"/>
              </w:rPr>
              <w:t>2</w:t>
            </w:r>
          </w:p>
        </w:tc>
      </w:tr>
      <w:tr w14:paraId="683AFF6A">
        <w:trPr>
          <w:trHeight w:val="395" w:hRule="atLeast"/>
          <w:jc w:val="center"/>
        </w:trPr>
        <w:tc>
          <w:tcPr>
            <w:tcW w:w="3939" w:type="dxa"/>
            <w:tcBorders>
              <w:top w:val="single" w:color="auto" w:sz="8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3F8E61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Cs w:val="21"/>
                <w14:ligatures w14:val="none"/>
              </w:rPr>
              <w:t>总量</w:t>
            </w:r>
          </w:p>
        </w:tc>
        <w:tc>
          <w:tcPr>
            <w:tcW w:w="4460" w:type="dxa"/>
            <w:tcBorders>
              <w:top w:val="single" w:color="auto" w:sz="8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45EA50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highlight w:val="yellow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14:ligatures w14:val="none"/>
              </w:rPr>
              <w:t>totalEmission</w:t>
            </w:r>
          </w:p>
        </w:tc>
      </w:tr>
      <w:tr w14:paraId="00AC623B">
        <w:trPr>
          <w:trHeight w:val="355" w:hRule="atLeast"/>
          <w:jc w:val="center"/>
        </w:trPr>
        <w:tc>
          <w:tcPr>
            <w:tcW w:w="393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3A656531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Cs w:val="21"/>
                <w14:ligatures w14:val="none"/>
              </w:rPr>
              <w:t>人均碳排放量</w:t>
            </w:r>
          </w:p>
        </w:tc>
        <w:tc>
          <w:tcPr>
            <w:tcW w:w="44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5EE7E0EA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highlight w:val="yellow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14:ligatures w14:val="none"/>
              </w:rPr>
              <w:t>personAverageEmission</w:t>
            </w:r>
          </w:p>
        </w:tc>
      </w:tr>
      <w:tr w14:paraId="55E104B7">
        <w:trPr>
          <w:trHeight w:val="415" w:hRule="atLeast"/>
          <w:jc w:val="center"/>
        </w:trPr>
        <w:tc>
          <w:tcPr>
            <w:tcW w:w="3939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70411027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Cs w:val="21"/>
                <w14:ligatures w14:val="none"/>
              </w:rPr>
              <w:t>地均碳排放量</w:t>
            </w:r>
          </w:p>
        </w:tc>
        <w:tc>
          <w:tcPr>
            <w:tcW w:w="446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0B159425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highlight w:val="yellow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14:ligatures w14:val="none"/>
              </w:rPr>
              <w:t>groundAverageEmission</w:t>
            </w:r>
          </w:p>
        </w:tc>
      </w:tr>
    </w:tbl>
    <w:p w14:paraId="73617C18">
      <w:pPr>
        <w:spacing w:line="300" w:lineRule="auto"/>
        <w:jc w:val="both"/>
        <w:rPr>
          <w:rFonts w:hint="eastAsia" w:ascii="Times New Roman" w:hAnsi="Times New Roman" w:eastAsia="宋体" w:cs="Times New Roman"/>
          <w:szCs w:val="21"/>
        </w:rPr>
      </w:pPr>
    </w:p>
    <w:p w14:paraId="7DCF5E24">
      <w:pPr>
        <w:spacing w:line="300" w:lineRule="auto"/>
        <w:jc w:val="both"/>
        <w:rPr>
          <w:rFonts w:hint="eastAsia" w:ascii="Times New Roman" w:hAnsi="Times New Roman" w:eastAsia="宋体" w:cs="Times New Roman"/>
          <w:szCs w:val="21"/>
        </w:rPr>
      </w:pPr>
    </w:p>
    <w:p w14:paraId="245FFA36">
      <w:pPr>
        <w:spacing w:line="300" w:lineRule="auto"/>
        <w:ind w:firstLine="420" w:firstLineChars="200"/>
        <w:jc w:val="center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表</w:t>
      </w:r>
      <w:r>
        <w:rPr>
          <w:rFonts w:ascii="Times New Roman" w:hAnsi="Times New Roman" w:eastAsia="宋体" w:cs="Times New Roman"/>
          <w:szCs w:val="21"/>
        </w:rPr>
        <w:t>3 year年北京林业大学</w:t>
      </w:r>
      <w:r>
        <w:rPr>
          <w:rFonts w:hint="eastAsia" w:ascii="Times New Roman" w:hAnsi="Times New Roman" w:eastAsia="宋体" w:cs="Times New Roman"/>
          <w:szCs w:val="21"/>
        </w:rPr>
        <w:t>各排放源碳排放</w:t>
      </w:r>
      <w:r>
        <w:rPr>
          <w:rFonts w:ascii="Times New Roman" w:hAnsi="Times New Roman" w:eastAsia="宋体" w:cs="Times New Roman"/>
          <w:szCs w:val="21"/>
        </w:rPr>
        <w:t>情况</w:t>
      </w:r>
      <w:bookmarkStart w:id="2" w:name="_GoBack"/>
      <w:bookmarkEnd w:id="2"/>
    </w:p>
    <w:tbl>
      <w:tblPr>
        <w:tblStyle w:val="6"/>
        <w:tblW w:w="8306" w:type="dxa"/>
        <w:jc w:val="right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4"/>
        <w:gridCol w:w="3036"/>
        <w:gridCol w:w="2636"/>
      </w:tblGrid>
      <w:tr w14:paraId="593EE6B5">
        <w:trPr>
          <w:trHeight w:val="498" w:hRule="atLeast"/>
          <w:jc w:val="right"/>
        </w:trPr>
        <w:tc>
          <w:tcPr>
            <w:tcW w:w="263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/>
            <w:vAlign w:val="center"/>
          </w:tcPr>
          <w:p w14:paraId="72EA8942">
            <w:pPr>
              <w:widowControl/>
              <w:jc w:val="center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Cs w:val="21"/>
                <w14:ligatures w14:val="none"/>
              </w:rPr>
              <w:t>排放类型</w:t>
            </w:r>
          </w:p>
        </w:tc>
        <w:tc>
          <w:tcPr>
            <w:tcW w:w="303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/>
            <w:vAlign w:val="center"/>
          </w:tcPr>
          <w:p w14:paraId="2AA092B4">
            <w:pPr>
              <w:widowControl/>
              <w:jc w:val="center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Cs w:val="21"/>
                <w14:ligatures w14:val="none"/>
              </w:rPr>
              <w:t>名称</w:t>
            </w:r>
          </w:p>
        </w:tc>
        <w:tc>
          <w:tcPr>
            <w:tcW w:w="263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/>
            <w:vAlign w:val="center"/>
          </w:tcPr>
          <w:p w14:paraId="4FB120AA">
            <w:pPr>
              <w:widowControl/>
              <w:jc w:val="center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Cs w:val="21"/>
                <w14:ligatures w14:val="none"/>
              </w:rPr>
              <w:t>碳排放量/tCO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vertAlign w:val="subscript"/>
                <w14:ligatures w14:val="none"/>
              </w:rPr>
              <w:t>2</w:t>
            </w:r>
          </w:p>
        </w:tc>
      </w:tr>
      <w:tr w14:paraId="744B0A23">
        <w:trPr>
          <w:trHeight w:val="280" w:hRule="atLeast"/>
          <w:jc w:val="right"/>
        </w:trPr>
        <w:tc>
          <w:tcPr>
            <w:tcW w:w="2634" w:type="dxa"/>
            <w:vMerge w:val="restart"/>
            <w:tcBorders>
              <w:top w:val="single" w:color="000000" w:sz="4" w:space="0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/>
            <w:vAlign w:val="center"/>
          </w:tcPr>
          <w:p w14:paraId="5D259C7F">
            <w:pPr>
              <w:widowControl/>
              <w:jc w:val="center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Cs w:val="21"/>
                <w14:ligatures w14:val="none"/>
              </w:rPr>
              <w:t>直接排放</w:t>
            </w:r>
          </w:p>
        </w:tc>
        <w:tc>
          <w:tcPr>
            <w:tcW w:w="3036" w:type="dxa"/>
            <w:tcBorders>
              <w:top w:val="single" w:color="000000" w:sz="4" w:space="0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/>
            <w:vAlign w:val="center"/>
          </w:tcPr>
          <w:p w14:paraId="06F19FD0">
            <w:pPr>
              <w:widowControl/>
              <w:jc w:val="center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2636" w:type="dxa"/>
            <w:tcBorders>
              <w:top w:val="single" w:color="000000" w:sz="4" w:space="0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/>
          </w:tcPr>
          <w:p w14:paraId="7E8CA2B6">
            <w:pPr>
              <w:widowControl/>
              <w:jc w:val="center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7078ADB6">
        <w:trPr>
          <w:trHeight w:val="280" w:hRule="atLeast"/>
          <w:jc w:val="right"/>
        </w:trPr>
        <w:tc>
          <w:tcPr>
            <w:tcW w:w="2634" w:type="dxa"/>
            <w:vMerge w:val="continue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/>
            <w:vAlign w:val="center"/>
          </w:tcPr>
          <w:p w14:paraId="3E574E13">
            <w:pPr>
              <w:widowControl/>
              <w:jc w:val="center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303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/>
            <w:vAlign w:val="center"/>
          </w:tcPr>
          <w:p w14:paraId="365B0D17">
            <w:pPr>
              <w:widowControl/>
              <w:jc w:val="center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Cs w:val="21"/>
                <w14:ligatures w14:val="none"/>
              </w:rPr>
              <w:t>小计</w:t>
            </w: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/>
          </w:tcPr>
          <w:p w14:paraId="5E11EB31">
            <w:pPr>
              <w:widowControl/>
              <w:jc w:val="center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23C79F8B">
        <w:trPr>
          <w:trHeight w:val="280" w:hRule="atLeast"/>
          <w:jc w:val="right"/>
        </w:trPr>
        <w:tc>
          <w:tcPr>
            <w:tcW w:w="2634" w:type="dxa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/>
            <w:vAlign w:val="center"/>
          </w:tcPr>
          <w:p w14:paraId="60AD0312">
            <w:pPr>
              <w:widowControl/>
              <w:jc w:val="center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Cs w:val="21"/>
                <w14:ligatures w14:val="none"/>
              </w:rPr>
              <w:t>间接排放</w:t>
            </w:r>
          </w:p>
        </w:tc>
        <w:tc>
          <w:tcPr>
            <w:tcW w:w="303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/>
            <w:vAlign w:val="center"/>
          </w:tcPr>
          <w:p w14:paraId="685BAF5D">
            <w:pPr>
              <w:widowControl/>
              <w:jc w:val="center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/>
          </w:tcPr>
          <w:p w14:paraId="20637D38">
            <w:pPr>
              <w:widowControl/>
              <w:jc w:val="center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7EFE019A">
        <w:trPr>
          <w:trHeight w:val="280" w:hRule="atLeast"/>
          <w:jc w:val="right"/>
        </w:trPr>
        <w:tc>
          <w:tcPr>
            <w:tcW w:w="2634" w:type="dxa"/>
            <w:vMerge w:val="continue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/>
            <w:vAlign w:val="center"/>
          </w:tcPr>
          <w:p w14:paraId="542B970F">
            <w:pPr>
              <w:widowControl/>
              <w:jc w:val="center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303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/>
            <w:vAlign w:val="center"/>
          </w:tcPr>
          <w:p w14:paraId="274EFC15">
            <w:pPr>
              <w:widowControl/>
              <w:jc w:val="center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Cs w:val="21"/>
                <w14:ligatures w14:val="none"/>
              </w:rPr>
              <w:t>小计</w:t>
            </w: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/>
          </w:tcPr>
          <w:p w14:paraId="1C297F1B">
            <w:pPr>
              <w:widowControl/>
              <w:jc w:val="center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0BE7F369">
        <w:trPr>
          <w:trHeight w:val="280" w:hRule="atLeast"/>
          <w:jc w:val="right"/>
        </w:trPr>
        <w:tc>
          <w:tcPr>
            <w:tcW w:w="2634" w:type="dxa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/>
            <w:vAlign w:val="center"/>
          </w:tcPr>
          <w:p w14:paraId="71906621">
            <w:pPr>
              <w:widowControl/>
              <w:jc w:val="center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Cs w:val="21"/>
                <w14:ligatures w14:val="none"/>
              </w:rPr>
              <w:t>其他排放</w:t>
            </w:r>
          </w:p>
        </w:tc>
        <w:tc>
          <w:tcPr>
            <w:tcW w:w="303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/>
            <w:vAlign w:val="center"/>
          </w:tcPr>
          <w:p w14:paraId="4BAB037D">
            <w:pPr>
              <w:widowControl/>
              <w:jc w:val="center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/>
          </w:tcPr>
          <w:p w14:paraId="7AB1A3DB">
            <w:pPr>
              <w:widowControl/>
              <w:jc w:val="center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408CFB55">
        <w:trPr>
          <w:trHeight w:val="280" w:hRule="atLeast"/>
          <w:jc w:val="right"/>
        </w:trPr>
        <w:tc>
          <w:tcPr>
            <w:tcW w:w="2634" w:type="dxa"/>
            <w:vMerge w:val="continue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/>
            <w:vAlign w:val="center"/>
          </w:tcPr>
          <w:p w14:paraId="52DF67B7">
            <w:pPr>
              <w:widowControl/>
              <w:jc w:val="center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303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/>
            <w:vAlign w:val="center"/>
          </w:tcPr>
          <w:p w14:paraId="5F9AAB19">
            <w:pPr>
              <w:widowControl/>
              <w:jc w:val="center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Cs w:val="21"/>
                <w14:ligatures w14:val="none"/>
              </w:rPr>
              <w:t>小计</w:t>
            </w: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noWrap/>
          </w:tcPr>
          <w:p w14:paraId="4BA2D332">
            <w:pPr>
              <w:widowControl/>
              <w:jc w:val="center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Cs w:val="21"/>
                <w14:ligatures w14:val="none"/>
              </w:rPr>
            </w:pPr>
          </w:p>
        </w:tc>
      </w:tr>
      <w:tr w14:paraId="194B921A">
        <w:trPr>
          <w:trHeight w:val="280" w:hRule="atLeast"/>
          <w:jc w:val="right"/>
        </w:trPr>
        <w:tc>
          <w:tcPr>
            <w:tcW w:w="2634" w:type="dxa"/>
            <w:tcBorders>
              <w:top w:val="nil"/>
              <w:left w:val="nil"/>
              <w:bottom w:val="single" w:color="000000" w:sz="12" w:space="0"/>
              <w:right w:val="nil"/>
              <w:tl2br w:val="nil"/>
              <w:tr2bl w:val="nil"/>
            </w:tcBorders>
            <w:shd w:val="clear" w:color="auto" w:fill="FFFFFF"/>
            <w:noWrap/>
            <w:vAlign w:val="center"/>
          </w:tcPr>
          <w:p w14:paraId="639A09CE">
            <w:pPr>
              <w:widowControl/>
              <w:jc w:val="center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Cs w:val="21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Cs w:val="21"/>
                <w:lang w:val="en-US" w:eastAsia="zh-CN"/>
                <w14:ligatures w14:val="none"/>
              </w:rPr>
              <w:t>-</w:t>
            </w:r>
          </w:p>
        </w:tc>
        <w:tc>
          <w:tcPr>
            <w:tcW w:w="3036" w:type="dxa"/>
            <w:tcBorders>
              <w:top w:val="nil"/>
              <w:left w:val="nil"/>
              <w:bottom w:val="single" w:color="000000" w:sz="12" w:space="0"/>
              <w:right w:val="nil"/>
              <w:tl2br w:val="nil"/>
              <w:tr2bl w:val="nil"/>
            </w:tcBorders>
            <w:shd w:val="clear" w:color="auto" w:fill="FFFFFF"/>
            <w:noWrap/>
            <w:vAlign w:val="center"/>
          </w:tcPr>
          <w:p w14:paraId="277704F2">
            <w:pPr>
              <w:widowControl/>
              <w:jc w:val="center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Cs w:val="21"/>
                <w14:ligatures w14:val="none"/>
              </w:rPr>
              <w:t>总计</w:t>
            </w:r>
          </w:p>
        </w:tc>
        <w:tc>
          <w:tcPr>
            <w:tcW w:w="2636" w:type="dxa"/>
            <w:tcBorders>
              <w:top w:val="nil"/>
              <w:left w:val="nil"/>
              <w:bottom w:val="single" w:color="000000" w:sz="12" w:space="0"/>
              <w:right w:val="nil"/>
              <w:tl2br w:val="nil"/>
              <w:tr2bl w:val="nil"/>
            </w:tcBorders>
            <w:shd w:val="clear" w:color="auto" w:fill="FFFFFF"/>
            <w:noWrap/>
          </w:tcPr>
          <w:p w14:paraId="1C057AFA">
            <w:pPr>
              <w:widowControl/>
              <w:jc w:val="center"/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Cs w:val="21"/>
                <w14:ligatures w14:val="none"/>
              </w:rPr>
              <w:t>totalEmission</w:t>
            </w:r>
          </w:p>
        </w:tc>
      </w:tr>
    </w:tbl>
    <w:p w14:paraId="684873EE">
      <w:pPr>
        <w:widowControl/>
        <w:jc w:val="center"/>
        <w:rPr>
          <w:rFonts w:hint="eastAsia" w:ascii="Times New Roman" w:hAnsi="Times New Roman" w:eastAsia="宋体" w:cs="Times New Roman"/>
          <w:color w:val="000000"/>
          <w:kern w:val="0"/>
          <w:szCs w:val="21"/>
          <w14:ligatures w14:val="none"/>
        </w:rPr>
      </w:pPr>
    </w:p>
    <w:p w14:paraId="2490A02C">
      <w:pPr>
        <w:widowControl/>
        <w:jc w:val="center"/>
        <w:rPr>
          <w:rFonts w:hint="eastAsia" w:ascii="Times New Roman" w:hAnsi="Times New Roman" w:eastAsia="宋体" w:cs="Times New Roman"/>
          <w:color w:val="000000"/>
          <w:kern w:val="0"/>
          <w:szCs w:val="21"/>
          <w14:ligatures w14:val="none"/>
        </w:rPr>
      </w:pPr>
    </w:p>
    <w:p w14:paraId="633440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jc w:val="center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bar</w:t>
      </w:r>
    </w:p>
    <w:p w14:paraId="6417AC6B">
      <w:pPr>
        <w:spacing w:line="300" w:lineRule="auto"/>
        <w:ind w:firstLine="420" w:firstLineChars="200"/>
        <w:jc w:val="center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图</w:t>
      </w:r>
      <w:r>
        <w:rPr>
          <w:rFonts w:ascii="Times New Roman" w:hAnsi="Times New Roman" w:eastAsia="宋体" w:cs="Times New Roman"/>
          <w:szCs w:val="21"/>
        </w:rPr>
        <w:t>3 year年北京林业大学</w:t>
      </w:r>
      <w:r>
        <w:rPr>
          <w:rFonts w:hint="eastAsia" w:ascii="Times New Roman" w:hAnsi="Times New Roman" w:eastAsia="宋体" w:cs="Times New Roman"/>
          <w:szCs w:val="21"/>
        </w:rPr>
        <w:t>各排放源碳排放</w:t>
      </w:r>
      <w:r>
        <w:rPr>
          <w:rFonts w:ascii="Times New Roman" w:hAnsi="Times New Roman" w:eastAsia="宋体" w:cs="Times New Roman"/>
          <w:szCs w:val="21"/>
        </w:rPr>
        <w:t>情况</w:t>
      </w:r>
    </w:p>
    <w:p w14:paraId="0917247A">
      <w:pPr>
        <w:spacing w:line="300" w:lineRule="auto"/>
        <w:jc w:val="center"/>
        <w:rPr>
          <w:rFonts w:ascii="Times New Roman" w:hAnsi="Times New Roman" w:eastAsia="宋体" w:cs="Times New Roman"/>
          <w:szCs w:val="21"/>
        </w:rPr>
      </w:pPr>
    </w:p>
    <w:p w14:paraId="6A54FC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pie</w:t>
      </w:r>
    </w:p>
    <w:p w14:paraId="109A1650">
      <w:pPr>
        <w:spacing w:line="300" w:lineRule="auto"/>
        <w:ind w:firstLine="420" w:firstLineChars="200"/>
        <w:jc w:val="center"/>
        <w:rPr>
          <w:rFonts w:hint="eastAsia"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图</w:t>
      </w:r>
      <w:r>
        <w:rPr>
          <w:rFonts w:ascii="Times New Roman" w:hAnsi="Times New Roman" w:eastAsia="宋体" w:cs="Times New Roman"/>
          <w:szCs w:val="21"/>
        </w:rPr>
        <w:t>4 year年北京林业大学</w:t>
      </w:r>
      <w:r>
        <w:rPr>
          <w:rFonts w:hint="eastAsia" w:ascii="Times New Roman" w:hAnsi="Times New Roman" w:eastAsia="宋体" w:cs="Times New Roman"/>
          <w:szCs w:val="21"/>
        </w:rPr>
        <w:t>碳排放构成</w:t>
      </w:r>
    </w:p>
    <w:p w14:paraId="47805B86">
      <w:pPr>
        <w:spacing w:line="300" w:lineRule="auto"/>
        <w:ind w:left="-3" w:leftChars="-338" w:hanging="707" w:hangingChars="337"/>
        <w:jc w:val="center"/>
        <w:rPr>
          <w:rFonts w:ascii="Times New Roman" w:hAnsi="Times New Roman" w:eastAsia="宋体" w:cs="Times New Roman"/>
          <w:szCs w:val="21"/>
        </w:rPr>
      </w:pPr>
    </w:p>
    <w:p w14:paraId="32F47BFE">
      <w:pPr>
        <w:spacing w:line="300" w:lineRule="auto"/>
        <w:ind w:left="-3" w:leftChars="-338" w:hanging="707" w:hangingChars="337"/>
        <w:jc w:val="center"/>
        <w:rPr>
          <w:rFonts w:ascii="Times New Roman" w:hAnsi="Times New Roman" w:eastAsia="宋体" w:cs="Times New Roman"/>
          <w:szCs w:val="21"/>
        </w:rPr>
      </w:pPr>
    </w:p>
    <w:p w14:paraId="5D5363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jc w:val="center"/>
        <w:textAlignment w:val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stackBarCategory</w:t>
      </w:r>
    </w:p>
    <w:p w14:paraId="14B954AC">
      <w:pPr>
        <w:spacing w:line="300" w:lineRule="auto"/>
        <w:ind w:firstLine="420" w:firstLineChars="200"/>
        <w:jc w:val="center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图</w:t>
      </w:r>
      <w:r>
        <w:rPr>
          <w:rFonts w:ascii="Times New Roman" w:hAnsi="Times New Roman" w:eastAsia="宋体" w:cs="Times New Roman"/>
          <w:szCs w:val="21"/>
        </w:rPr>
        <w:t>5 year年北京林业大学</w:t>
      </w:r>
      <w:r>
        <w:rPr>
          <w:rFonts w:hint="eastAsia" w:ascii="Times New Roman" w:hAnsi="Times New Roman" w:eastAsia="宋体" w:cs="Times New Roman"/>
          <w:szCs w:val="21"/>
        </w:rPr>
        <w:t>碳排放变化趋势（按排放源）</w:t>
      </w:r>
    </w:p>
    <w:p w14:paraId="1642C023">
      <w:pPr>
        <w:spacing w:line="300" w:lineRule="auto"/>
        <w:ind w:leftChars="-202" w:hanging="424" w:hangingChars="202"/>
        <w:jc w:val="center"/>
        <w:rPr>
          <w:rFonts w:ascii="Times New Roman" w:hAnsi="Times New Roman" w:eastAsia="宋体" w:cs="Times New Roman"/>
          <w:szCs w:val="21"/>
        </w:rPr>
      </w:pPr>
    </w:p>
    <w:p w14:paraId="631AB5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jc w:val="center"/>
        <w:textAlignment w:val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stackBarType</w:t>
      </w:r>
    </w:p>
    <w:p w14:paraId="00E34B6E">
      <w:pPr>
        <w:spacing w:line="300" w:lineRule="auto"/>
        <w:ind w:firstLine="420" w:firstLineChars="200"/>
        <w:jc w:val="center"/>
        <w:rPr>
          <w:rFonts w:hint="eastAsia"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图</w:t>
      </w:r>
      <w:r>
        <w:rPr>
          <w:rFonts w:ascii="Times New Roman" w:hAnsi="Times New Roman" w:eastAsia="宋体" w:cs="Times New Roman"/>
          <w:szCs w:val="21"/>
        </w:rPr>
        <w:t>6 year年北京林业大学</w:t>
      </w:r>
      <w:r>
        <w:rPr>
          <w:rFonts w:hint="eastAsia" w:ascii="Times New Roman" w:hAnsi="Times New Roman" w:eastAsia="宋体" w:cs="Times New Roman"/>
          <w:szCs w:val="21"/>
        </w:rPr>
        <w:t>碳排放变化趋势（按排放类型）</w:t>
      </w:r>
    </w:p>
    <w:p w14:paraId="49780BF4">
      <w:pPr>
        <w:spacing w:line="300" w:lineRule="auto"/>
        <w:jc w:val="both"/>
        <w:rPr>
          <w:rFonts w:hint="eastAsia" w:ascii="Times New Roman" w:hAnsi="Times New Roman" w:eastAsia="宋体" w:cs="Times New Roman"/>
          <w:szCs w:val="21"/>
        </w:rPr>
      </w:pPr>
    </w:p>
    <w:p w14:paraId="648C2BE0">
      <w:pPr>
        <w:pStyle w:val="2"/>
        <w:spacing w:before="120" w:after="120" w:line="360" w:lineRule="auto"/>
      </w:pPr>
      <w:r>
        <w:rPr>
          <w:rFonts w:hint="eastAsia"/>
        </w:rPr>
        <w:t>四、结论</w:t>
      </w:r>
    </w:p>
    <w:p w14:paraId="001EBFBE">
      <w:pPr>
        <w:spacing w:line="300" w:lineRule="auto"/>
        <w:ind w:firstLine="480" w:firstLineChars="200"/>
      </w:pPr>
      <w:r>
        <w:rPr>
          <w:rFonts w:hint="eastAsia" w:ascii="Times New Roman" w:hAnsi="Times New Roman" w:eastAsia="宋体" w:cs="Times New Roman"/>
          <w:sz w:val="24"/>
          <w:szCs w:val="24"/>
        </w:rPr>
        <w:t>根据核算结果，</w:t>
      </w:r>
      <w:r>
        <w:rPr>
          <w:rFonts w:ascii="Times New Roman" w:hAnsi="Times New Roman" w:eastAsia="宋体" w:cs="Times New Roman"/>
          <w:sz w:val="24"/>
          <w:szCs w:val="24"/>
        </w:rPr>
        <w:t>year</w:t>
      </w:r>
      <w:r>
        <w:rPr>
          <w:rFonts w:hint="eastAsia" w:ascii="Times New Roman" w:hAnsi="Times New Roman" w:eastAsia="宋体" w:cs="Times New Roman"/>
          <w:sz w:val="24"/>
          <w:szCs w:val="24"/>
        </w:rPr>
        <w:t>年北京林业大学碳排放量为</w:t>
      </w:r>
      <w:r>
        <w:rPr>
          <w:rFonts w:ascii="Times New Roman" w:hAnsi="Times New Roman" w:eastAsia="宋体" w:cs="Times New Roman"/>
          <w:color w:val="000000"/>
          <w:kern w:val="0"/>
          <w:szCs w:val="21"/>
          <w14:ligatures w14:val="none"/>
        </w:rPr>
        <w:t>totalEmission</w:t>
      </w:r>
      <w:r>
        <w:rPr>
          <w:rFonts w:ascii="Times New Roman" w:hAnsi="Times New Roman" w:eastAsia="宋体" w:cs="Times New Roman"/>
          <w:sz w:val="24"/>
          <w:szCs w:val="24"/>
        </w:rPr>
        <w:t>tCO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</w:rPr>
        <w:t>，人均碳排放量为</w:t>
      </w:r>
      <w:r>
        <w:rPr>
          <w:rFonts w:ascii="Times New Roman" w:hAnsi="Times New Roman" w:eastAsia="宋体" w:cs="Times New Roman"/>
          <w:color w:val="000000"/>
          <w:kern w:val="0"/>
          <w:szCs w:val="21"/>
          <w14:ligatures w14:val="none"/>
        </w:rPr>
        <w:t>personAverageEmission</w:t>
      </w:r>
      <w:r>
        <w:rPr>
          <w:rFonts w:ascii="Times New Roman" w:hAnsi="Times New Roman" w:eastAsia="宋体" w:cs="Times New Roman"/>
          <w:sz w:val="24"/>
          <w:szCs w:val="24"/>
        </w:rPr>
        <w:t>tCO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</w:rPr>
        <w:t>，其中最大的5个排放源依次是</w:t>
      </w:r>
      <w:r>
        <w:rPr>
          <w:rFonts w:ascii="Times New Roman" w:hAnsi="Times New Roman" w:eastAsia="宋体" w:cs="Times New Roman"/>
          <w:sz w:val="24"/>
          <w:szCs w:val="24"/>
        </w:rPr>
        <w:t>EmissionName1</w:t>
      </w:r>
      <w:r>
        <w:rPr>
          <w:rFonts w:hint="eastAsia" w:ascii="Times New Roman" w:hAnsi="Times New Roman" w:eastAsia="宋体" w:cs="Times New Roman"/>
          <w:sz w:val="24"/>
          <w:szCs w:val="24"/>
        </w:rPr>
        <w:t>（</w:t>
      </w:r>
      <w:r>
        <w:rPr>
          <w:rFonts w:ascii="Times New Roman" w:hAnsi="Times New Roman" w:eastAsia="宋体" w:cs="Times New Roman"/>
          <w:sz w:val="24"/>
          <w:szCs w:val="24"/>
        </w:rPr>
        <w:t>EmissionNumber1tCO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</w:rPr>
        <w:t>）、</w:t>
      </w:r>
      <w:r>
        <w:rPr>
          <w:rFonts w:ascii="Times New Roman" w:hAnsi="Times New Roman" w:eastAsia="宋体" w:cs="Times New Roman"/>
          <w:sz w:val="24"/>
          <w:szCs w:val="24"/>
        </w:rPr>
        <w:t>EmissionName2</w:t>
      </w:r>
      <w:r>
        <w:rPr>
          <w:rFonts w:hint="eastAsia" w:ascii="Times New Roman" w:hAnsi="Times New Roman" w:eastAsia="宋体" w:cs="Times New Roman"/>
          <w:sz w:val="24"/>
          <w:szCs w:val="24"/>
        </w:rPr>
        <w:t>（</w:t>
      </w:r>
      <w:r>
        <w:rPr>
          <w:rFonts w:ascii="Times New Roman" w:hAnsi="Times New Roman" w:eastAsia="宋体" w:cs="Times New Roman"/>
          <w:sz w:val="24"/>
          <w:szCs w:val="24"/>
        </w:rPr>
        <w:t>EmissionNumber2 tCO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</w:rPr>
        <w:t>）、</w:t>
      </w:r>
      <w:r>
        <w:rPr>
          <w:rFonts w:ascii="Times New Roman" w:hAnsi="Times New Roman" w:eastAsia="宋体" w:cs="Times New Roman"/>
          <w:sz w:val="24"/>
          <w:szCs w:val="24"/>
        </w:rPr>
        <w:t>EmissionName3</w:t>
      </w:r>
      <w:r>
        <w:rPr>
          <w:rFonts w:hint="eastAsia" w:ascii="Times New Roman" w:hAnsi="Times New Roman" w:eastAsia="宋体" w:cs="Times New Roman"/>
          <w:sz w:val="24"/>
          <w:szCs w:val="24"/>
        </w:rPr>
        <w:t>（</w:t>
      </w:r>
      <w:r>
        <w:rPr>
          <w:rFonts w:ascii="Times New Roman" w:hAnsi="Times New Roman" w:eastAsia="宋体" w:cs="Times New Roman"/>
          <w:sz w:val="24"/>
          <w:szCs w:val="24"/>
        </w:rPr>
        <w:t>EmissionNumber3 tCO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</w:rPr>
        <w:t>）、</w:t>
      </w:r>
      <w:r>
        <w:rPr>
          <w:rFonts w:ascii="Times New Roman" w:hAnsi="Times New Roman" w:eastAsia="宋体" w:cs="Times New Roman"/>
          <w:sz w:val="24"/>
          <w:szCs w:val="24"/>
        </w:rPr>
        <w:t>EmissionName4</w:t>
      </w:r>
      <w:r>
        <w:rPr>
          <w:rFonts w:hint="eastAsia" w:ascii="Times New Roman" w:hAnsi="Times New Roman" w:eastAsia="宋体" w:cs="Times New Roman"/>
          <w:sz w:val="24"/>
          <w:szCs w:val="24"/>
        </w:rPr>
        <w:t>（</w:t>
      </w:r>
      <w:r>
        <w:rPr>
          <w:rFonts w:ascii="Times New Roman" w:hAnsi="Times New Roman" w:eastAsia="宋体" w:cs="Times New Roman"/>
          <w:sz w:val="24"/>
          <w:szCs w:val="24"/>
        </w:rPr>
        <w:t>EmissionNumber4 tCO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</w:rPr>
        <w:t>）、</w:t>
      </w:r>
      <w:r>
        <w:rPr>
          <w:rFonts w:ascii="Times New Roman" w:hAnsi="Times New Roman" w:eastAsia="宋体" w:cs="Times New Roman"/>
          <w:sz w:val="24"/>
          <w:szCs w:val="24"/>
        </w:rPr>
        <w:t>EmissionName5</w:t>
      </w:r>
      <w:r>
        <w:rPr>
          <w:rFonts w:hint="eastAsia" w:ascii="Times New Roman" w:hAnsi="Times New Roman" w:eastAsia="宋体" w:cs="Times New Roman"/>
          <w:sz w:val="24"/>
          <w:szCs w:val="24"/>
        </w:rPr>
        <w:t>（</w:t>
      </w:r>
      <w:r>
        <w:rPr>
          <w:rFonts w:ascii="Times New Roman" w:hAnsi="Times New Roman" w:eastAsia="宋体" w:cs="Times New Roman"/>
          <w:sz w:val="24"/>
          <w:szCs w:val="24"/>
        </w:rPr>
        <w:t>EmissionNumber5 tCO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</w:rPr>
        <w:t>）。未来校园碳减排应围绕以上5个排放源重点展开。直接排放量、间接排放量和其他排放量分别为</w:t>
      </w:r>
      <w:r>
        <w:rPr>
          <w:rFonts w:ascii="Times New Roman" w:hAnsi="Times New Roman" w:eastAsia="宋体" w:cs="Times New Roman"/>
          <w:sz w:val="24"/>
          <w:szCs w:val="24"/>
        </w:rPr>
        <w:t>dirEmiNumber tCO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</w:rPr>
        <w:t>、</w:t>
      </w:r>
      <w:r>
        <w:rPr>
          <w:rFonts w:ascii="Times New Roman" w:hAnsi="Times New Roman" w:eastAsia="宋体" w:cs="Times New Roman"/>
          <w:sz w:val="24"/>
          <w:szCs w:val="24"/>
        </w:rPr>
        <w:t>indEmiNumber tCO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</w:rPr>
        <w:t>和</w:t>
      </w:r>
      <w:r>
        <w:rPr>
          <w:rFonts w:ascii="Times New Roman" w:hAnsi="Times New Roman" w:eastAsia="宋体" w:cs="Times New Roman"/>
          <w:sz w:val="24"/>
          <w:szCs w:val="24"/>
        </w:rPr>
        <w:t>otherEmiNumber tCO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</w:rPr>
        <w:t>。排放量最高的月份是</w:t>
      </w:r>
      <w:r>
        <w:rPr>
          <w:rFonts w:ascii="Times New Roman" w:hAnsi="Times New Roman" w:eastAsia="宋体" w:cs="Times New Roman"/>
          <w:sz w:val="24"/>
          <w:szCs w:val="24"/>
        </w:rPr>
        <w:t>maxMonth</w:t>
      </w:r>
      <w:r>
        <w:rPr>
          <w:rFonts w:hint="eastAsia" w:ascii="Times New Roman" w:hAnsi="Times New Roman" w:eastAsia="宋体" w:cs="Times New Roman"/>
          <w:sz w:val="24"/>
          <w:szCs w:val="24"/>
        </w:rPr>
        <w:t>月</w:t>
      </w:r>
      <w:r>
        <w:rPr>
          <w:rFonts w:ascii="Times New Roman" w:hAnsi="Times New Roman" w:eastAsia="宋体" w:cs="Times New Roman"/>
          <w:sz w:val="24"/>
          <w:szCs w:val="24"/>
        </w:rPr>
        <w:t>maxCategory</w:t>
      </w:r>
      <w:r>
        <w:rPr>
          <w:rFonts w:hint="eastAsia" w:ascii="Times New Roman" w:hAnsi="Times New Roman" w:eastAsia="宋体" w:cs="Times New Roman"/>
          <w:sz w:val="24"/>
          <w:szCs w:val="24"/>
        </w:rPr>
        <w:t>（</w:t>
      </w:r>
      <w:r>
        <w:rPr>
          <w:rFonts w:ascii="Times New Roman" w:hAnsi="Times New Roman" w:eastAsia="宋体" w:cs="Times New Roman"/>
          <w:sz w:val="24"/>
          <w:szCs w:val="24"/>
        </w:rPr>
        <w:t>maxEmi tCO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</w:rPr>
        <w:t>），排放量最低的月份是</w:t>
      </w:r>
      <w:r>
        <w:rPr>
          <w:rFonts w:ascii="Times New Roman" w:hAnsi="Times New Roman" w:eastAsia="宋体" w:cs="Times New Roman"/>
          <w:sz w:val="24"/>
          <w:szCs w:val="24"/>
        </w:rPr>
        <w:t>minMonth</w:t>
      </w:r>
      <w:r>
        <w:rPr>
          <w:rFonts w:hint="eastAsia" w:ascii="Times New Roman" w:hAnsi="Times New Roman" w:eastAsia="宋体" w:cs="Times New Roman"/>
          <w:sz w:val="24"/>
          <w:szCs w:val="24"/>
        </w:rPr>
        <w:t>月</w:t>
      </w:r>
      <w:r>
        <w:rPr>
          <w:rFonts w:ascii="Times New Roman" w:hAnsi="Times New Roman" w:eastAsia="宋体" w:cs="Times New Roman"/>
          <w:sz w:val="24"/>
          <w:szCs w:val="24"/>
        </w:rPr>
        <w:t>minCategory</w:t>
      </w:r>
      <w:r>
        <w:rPr>
          <w:rFonts w:hint="eastAsia" w:ascii="Times New Roman" w:hAnsi="Times New Roman" w:eastAsia="宋体" w:cs="Times New Roman"/>
          <w:sz w:val="24"/>
          <w:szCs w:val="24"/>
        </w:rPr>
        <w:t>（</w:t>
      </w:r>
      <w:r>
        <w:rPr>
          <w:rFonts w:ascii="Times New Roman" w:hAnsi="Times New Roman" w:eastAsia="宋体" w:cs="Times New Roman"/>
          <w:sz w:val="24"/>
          <w:szCs w:val="24"/>
        </w:rPr>
        <w:t>minEmi tCO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</w:rPr>
        <w:t>）。</w:t>
      </w:r>
    </w:p>
    <w:p w14:paraId="4EA710A0">
      <w:pPr>
        <w:spacing w:line="300" w:lineRule="auto"/>
        <w:ind w:firstLine="420" w:firstLineChars="200"/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79EC"/>
    <w:rsid w:val="00006D8A"/>
    <w:rsid w:val="000600EE"/>
    <w:rsid w:val="0006529B"/>
    <w:rsid w:val="0007239A"/>
    <w:rsid w:val="00075A08"/>
    <w:rsid w:val="000A2C23"/>
    <w:rsid w:val="0010374A"/>
    <w:rsid w:val="001161AA"/>
    <w:rsid w:val="001227CA"/>
    <w:rsid w:val="001954F1"/>
    <w:rsid w:val="001A2E8B"/>
    <w:rsid w:val="001A685C"/>
    <w:rsid w:val="001B7FD2"/>
    <w:rsid w:val="001D17E5"/>
    <w:rsid w:val="001E0975"/>
    <w:rsid w:val="001E09C9"/>
    <w:rsid w:val="001E36C2"/>
    <w:rsid w:val="00211311"/>
    <w:rsid w:val="00221D0F"/>
    <w:rsid w:val="00226FC3"/>
    <w:rsid w:val="002603FC"/>
    <w:rsid w:val="002730EA"/>
    <w:rsid w:val="002E63D1"/>
    <w:rsid w:val="002F223E"/>
    <w:rsid w:val="00344762"/>
    <w:rsid w:val="00350CD6"/>
    <w:rsid w:val="003F40F8"/>
    <w:rsid w:val="003F6597"/>
    <w:rsid w:val="00403CDC"/>
    <w:rsid w:val="004421B4"/>
    <w:rsid w:val="00455BB6"/>
    <w:rsid w:val="00457EB6"/>
    <w:rsid w:val="004615A6"/>
    <w:rsid w:val="00463BF3"/>
    <w:rsid w:val="004836E0"/>
    <w:rsid w:val="00497C3A"/>
    <w:rsid w:val="004A5226"/>
    <w:rsid w:val="004D317B"/>
    <w:rsid w:val="00512607"/>
    <w:rsid w:val="00514D94"/>
    <w:rsid w:val="00544301"/>
    <w:rsid w:val="005D4F87"/>
    <w:rsid w:val="00614B15"/>
    <w:rsid w:val="00667E24"/>
    <w:rsid w:val="006807EA"/>
    <w:rsid w:val="006A3EFE"/>
    <w:rsid w:val="006C263E"/>
    <w:rsid w:val="006C3CFF"/>
    <w:rsid w:val="006C6510"/>
    <w:rsid w:val="006E52D0"/>
    <w:rsid w:val="006F3089"/>
    <w:rsid w:val="006F5124"/>
    <w:rsid w:val="00733551"/>
    <w:rsid w:val="007523DE"/>
    <w:rsid w:val="00785940"/>
    <w:rsid w:val="0078777D"/>
    <w:rsid w:val="007D17A4"/>
    <w:rsid w:val="007E72D4"/>
    <w:rsid w:val="00810C77"/>
    <w:rsid w:val="008626C4"/>
    <w:rsid w:val="00913B15"/>
    <w:rsid w:val="00924569"/>
    <w:rsid w:val="009842AF"/>
    <w:rsid w:val="0099560A"/>
    <w:rsid w:val="00996B9D"/>
    <w:rsid w:val="009B5402"/>
    <w:rsid w:val="00A31330"/>
    <w:rsid w:val="00A46B31"/>
    <w:rsid w:val="00AA1C7F"/>
    <w:rsid w:val="00B16BBA"/>
    <w:rsid w:val="00B264E5"/>
    <w:rsid w:val="00B4060C"/>
    <w:rsid w:val="00B737EE"/>
    <w:rsid w:val="00B83E5D"/>
    <w:rsid w:val="00B95411"/>
    <w:rsid w:val="00BE5420"/>
    <w:rsid w:val="00BE7157"/>
    <w:rsid w:val="00C11556"/>
    <w:rsid w:val="00C127D2"/>
    <w:rsid w:val="00CA429C"/>
    <w:rsid w:val="00CA7477"/>
    <w:rsid w:val="00CD2932"/>
    <w:rsid w:val="00D0766B"/>
    <w:rsid w:val="00D32616"/>
    <w:rsid w:val="00D879EC"/>
    <w:rsid w:val="00D906C5"/>
    <w:rsid w:val="00DC49C2"/>
    <w:rsid w:val="00E8418C"/>
    <w:rsid w:val="00E93F25"/>
    <w:rsid w:val="00EE419F"/>
    <w:rsid w:val="00F02498"/>
    <w:rsid w:val="00F105C9"/>
    <w:rsid w:val="00F4580F"/>
    <w:rsid w:val="00FC0DB2"/>
    <w:rsid w:val="00FD79AD"/>
    <w:rsid w:val="00FF1071"/>
    <w:rsid w:val="00FF22CC"/>
    <w:rsid w:val="00FF4DCC"/>
    <w:rsid w:val="2F1FE2D5"/>
    <w:rsid w:val="3F9998E2"/>
    <w:rsid w:val="3FF3B5CE"/>
    <w:rsid w:val="3FFA67DE"/>
    <w:rsid w:val="3FFF2C9A"/>
    <w:rsid w:val="4FECC36C"/>
    <w:rsid w:val="579FEEDD"/>
    <w:rsid w:val="5BFFA0B7"/>
    <w:rsid w:val="6CFDFC6D"/>
    <w:rsid w:val="6DF40508"/>
    <w:rsid w:val="6EED3FBB"/>
    <w:rsid w:val="73DF5B2E"/>
    <w:rsid w:val="7499F919"/>
    <w:rsid w:val="76AB682D"/>
    <w:rsid w:val="77FFDAA6"/>
    <w:rsid w:val="7B7B749B"/>
    <w:rsid w:val="7EF5C6F9"/>
    <w:rsid w:val="7F7EE2FC"/>
    <w:rsid w:val="7FFBDC70"/>
    <w:rsid w:val="B6F23866"/>
    <w:rsid w:val="BF9FF884"/>
    <w:rsid w:val="BFFD2B7B"/>
    <w:rsid w:val="DDFB3C44"/>
    <w:rsid w:val="EFFF4D95"/>
    <w:rsid w:val="F42E256C"/>
    <w:rsid w:val="FBEF32CB"/>
    <w:rsid w:val="FF763E73"/>
    <w:rsid w:val="FFFE5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8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10"/>
    <w:unhideWhenUsed/>
    <w:qFormat/>
    <w:uiPriority w:val="9"/>
    <w:pPr>
      <w:keepNext/>
      <w:keepLines/>
      <w:spacing w:line="300" w:lineRule="auto"/>
      <w:outlineLvl w:val="1"/>
    </w:pPr>
    <w:rPr>
      <w:rFonts w:ascii="Times New Roman" w:hAnsi="Times New Roman" w:eastAsia="宋体" w:cstheme="majorBidi"/>
      <w:b/>
      <w:bCs/>
      <w:sz w:val="30"/>
      <w:szCs w:val="32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标题 1 字符"/>
    <w:basedOn w:val="7"/>
    <w:link w:val="2"/>
    <w:uiPriority w:val="9"/>
    <w:rPr>
      <w:rFonts w:ascii="Times New Roman" w:hAnsi="Times New Roman" w:eastAsia="宋体"/>
      <w:b/>
      <w:bCs/>
      <w:kern w:val="44"/>
      <w:sz w:val="32"/>
      <w:szCs w:val="44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标题 2 字符"/>
    <w:basedOn w:val="7"/>
    <w:link w:val="3"/>
    <w:uiPriority w:val="9"/>
    <w:rPr>
      <w:rFonts w:ascii="Times New Roman" w:hAnsi="Times New Roman" w:eastAsia="宋体" w:cstheme="majorBidi"/>
      <w:b/>
      <w:bCs/>
      <w:sz w:val="30"/>
      <w:szCs w:val="32"/>
    </w:rPr>
  </w:style>
  <w:style w:type="character" w:customStyle="1" w:styleId="11">
    <w:name w:val="页眉 字符"/>
    <w:basedOn w:val="7"/>
    <w:link w:val="5"/>
    <w:uiPriority w:val="99"/>
    <w:rPr>
      <w:sz w:val="18"/>
      <w:szCs w:val="18"/>
    </w:rPr>
  </w:style>
  <w:style w:type="character" w:customStyle="1" w:styleId="12">
    <w:name w:val="页脚 字符"/>
    <w:basedOn w:val="7"/>
    <w:link w:val="4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309E37C6-3479-4D80-95F5-39E561F7019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249</Words>
  <Characters>1424</Characters>
  <Lines>11</Lines>
  <Paragraphs>3</Paragraphs>
  <TotalTime>0</TotalTime>
  <ScaleCrop>false</ScaleCrop>
  <LinksUpToDate>false</LinksUpToDate>
  <CharactersWithSpaces>1670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2023-09-26T17:56:00Z</dcterms:created>
  <dc:creator>Marguerite Olinda</dc:creator>
  <cp:lastModifiedBy>云公子</cp:lastModifiedBy>
  <dcterms:modified xsi:type="dcterms:W3CDTF">2026-01-30T11:33:05Z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DB55837B969FC89196056A69B7853215_42</vt:lpwstr>
  </property>
</Properties>
</file>