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color w:val="0F3359"/>
          <w:sz w:val="44"/>
        </w:rPr>
        <w:t>Technical Report</w:t>
      </w:r>
    </w:p>
    <w:p>
      <w:pPr>
        <w:pStyle w:val="Subtitle"/>
        <w:jc w:val="center"/>
      </w:pPr>
      <w:r>
        <w:rPr>
          <w:rFonts w:ascii="Microsoft YaHei" w:hAnsi="Microsoft YaHei" w:eastAsia="Microsoft YaHei"/>
          <w:b w:val="0"/>
          <w:color w:val="5C6570"/>
          <w:sz w:val="23"/>
        </w:rPr>
        <w:t>doScenes Challenge Language+History Track Technical Report</w:t>
      </w:r>
    </w:p>
    <w:p>
      <w:pPr>
        <w:jc w:val="center"/>
      </w:pPr>
      <w:r>
        <w:rPr>
          <w:rFonts w:ascii="Microsoft YaHei" w:hAnsi="Microsoft YaHei" w:eastAsia="Microsoft YaHei"/>
          <w:b w:val="0"/>
          <w:color w:val="5C6570"/>
          <w:sz w:val="20"/>
        </w:rPr>
        <w:t>Prepared from project experiments and submission artifacts</w:t>
      </w:r>
    </w:p>
    <w:p>
      <w:pPr>
        <w:jc w:val="center"/>
      </w:pPr>
      <w:r>
        <w:rPr>
          <w:rFonts w:ascii="Microsoft YaHei" w:hAnsi="Microsoft YaHei" w:eastAsia="Microsoft YaHei"/>
          <w:b/>
          <w:color w:val="2D3E50"/>
          <w:sz w:val="21"/>
        </w:rPr>
        <w:t>Author: Ke Deng</w:t>
      </w:r>
    </w:p>
    <w:p/>
    <w:tbl>
      <w:tblPr>
        <w:tblStyle w:val="TableGrid"/>
        <w:tblW w:type="auto" w:w="0"/>
        <w:tblLayout w:type="autofit"/>
        <w:tblLook w:firstColumn="1" w:firstRow="1" w:lastColumn="0" w:lastRow="0" w:noHBand="0" w:noVBand="1" w:val="04A0"/>
      </w:tblPr>
      <w:tblGrid>
        <w:gridCol w:w="3211"/>
        <w:gridCol w:w="3211"/>
        <w:gridCol w:w="3211"/>
      </w:tblGrid>
      <w:tr>
        <w:tc>
          <w:tcPr>
            <w:tcW w:type="dxa" w:w="3211"/>
            <w:shd w:fill="DCE6F1"/>
          </w:tcPr>
          <w:p>
            <w:pPr>
              <w:jc w:val="center"/>
            </w:pPr>
            <w:r>
              <w:rPr>
                <w:rFonts w:ascii="Microsoft YaHei" w:hAnsi="Microsoft YaHei" w:eastAsia="Microsoft YaHei"/>
                <w:b/>
                <w:color w:val="0F3359"/>
                <w:sz w:val="21"/>
              </w:rPr>
              <w:t>ADE_instruction (m)</w:t>
            </w:r>
          </w:p>
        </w:tc>
        <w:tc>
          <w:tcPr>
            <w:tcW w:type="dxa" w:w="3211"/>
            <w:shd w:fill="DCE6F1"/>
          </w:tcPr>
          <w:p>
            <w:pPr>
              <w:jc w:val="center"/>
            </w:pPr>
            <w:r>
              <w:rPr>
                <w:rFonts w:ascii="Microsoft YaHei" w:hAnsi="Microsoft YaHei" w:eastAsia="Microsoft YaHei"/>
                <w:b/>
                <w:color w:val="0F3359"/>
                <w:sz w:val="21"/>
              </w:rPr>
              <w:t>ADE_baseline (m)</w:t>
            </w:r>
          </w:p>
        </w:tc>
        <w:tc>
          <w:tcPr>
            <w:tcW w:type="dxa" w:w="3211"/>
            <w:shd w:fill="DCE6F1"/>
          </w:tcPr>
          <w:p>
            <w:pPr>
              <w:jc w:val="center"/>
            </w:pPr>
            <w:r>
              <w:rPr>
                <w:rFonts w:ascii="Microsoft YaHei" w:hAnsi="Microsoft YaHei" w:eastAsia="Microsoft YaHei"/>
                <w:b/>
                <w:color w:val="0F3359"/>
                <w:sz w:val="21"/>
              </w:rPr>
              <w:t>Delta ADE (m)</w:t>
            </w:r>
          </w:p>
        </w:tc>
      </w:tr>
      <w:tr>
        <w:tc>
          <w:tcPr>
            <w:tcW w:type="dxa" w:w="3211"/>
          </w:tcPr>
          <w:p>
            <w:pPr>
              <w:jc w:val="center"/>
            </w:pPr>
            <w:r>
              <w:rPr>
                <w:rFonts w:ascii="Microsoft YaHei" w:hAnsi="Microsoft YaHei" w:eastAsia="Microsoft YaHei"/>
                <w:b/>
                <w:color w:val="222222"/>
                <w:sz w:val="22"/>
              </w:rPr>
              <w:t>3.474533</w:t>
            </w:r>
          </w:p>
        </w:tc>
        <w:tc>
          <w:tcPr>
            <w:tcW w:type="dxa" w:w="3211"/>
          </w:tcPr>
          <w:p>
            <w:pPr>
              <w:jc w:val="center"/>
            </w:pPr>
            <w:r>
              <w:rPr>
                <w:rFonts w:ascii="Microsoft YaHei" w:hAnsi="Microsoft YaHei" w:eastAsia="Microsoft YaHei"/>
                <w:b/>
                <w:color w:val="222222"/>
                <w:sz w:val="22"/>
              </w:rPr>
              <w:t>3.955950</w:t>
            </w:r>
          </w:p>
        </w:tc>
        <w:tc>
          <w:tcPr>
            <w:tcW w:type="dxa" w:w="3211"/>
          </w:tcPr>
          <w:p>
            <w:pPr>
              <w:jc w:val="center"/>
            </w:pPr>
            <w:r>
              <w:rPr>
                <w:rFonts w:ascii="Microsoft YaHei" w:hAnsi="Microsoft YaHei" w:eastAsia="Microsoft YaHei"/>
                <w:b/>
                <w:color w:val="222222"/>
                <w:sz w:val="22"/>
              </w:rPr>
              <w:t>+0.481417</w:t>
            </w:r>
          </w:p>
        </w:tc>
      </w:tr>
    </w:tbl>
    <w:p>
      <w:r>
        <w:br w:type="page"/>
      </w:r>
    </w:p>
    <w:p>
      <w:pPr>
        <w:spacing w:line="324" w:lineRule="auto" w:after="100"/>
        <w:jc w:val="left"/>
      </w:pPr>
      <w:r>
        <w:rPr>
          <w:rFonts w:ascii="Microsoft YaHei" w:hAnsi="Microsoft YaHei" w:eastAsia="Microsoft YaHei"/>
          <w:b w:val="0"/>
          <w:color w:val="222222"/>
          <w:sz w:val="21"/>
        </w:rPr>
        <w:t>﻿# Dual-Head Language-Conditioned Trajectory Prediction for doScenes Challenge</w:t>
      </w:r>
    </w:p>
    <w:p>
      <w:pPr>
        <w:spacing w:line="324" w:lineRule="auto" w:after="100"/>
        <w:jc w:val="left"/>
      </w:pPr>
      <w:r>
        <w:rPr>
          <w:rFonts w:ascii="Microsoft YaHei" w:hAnsi="Microsoft YaHei" w:eastAsia="Microsoft YaHei"/>
          <w:b w:val="0"/>
          <w:color w:val="222222"/>
          <w:sz w:val="21"/>
        </w:rPr>
        <w:t>Author: Ke Deng</w:t>
      </w:r>
    </w:p>
    <w:p>
      <w:pPr>
        <w:pStyle w:val="Heading2"/>
        <w:spacing w:before="200" w:after="80"/>
      </w:pPr>
      <w:r>
        <w:rPr>
          <w:rFonts w:ascii="Microsoft YaHei" w:hAnsi="Microsoft YaHei" w:eastAsia="Microsoft YaHei"/>
          <w:b/>
          <w:color w:val="1A5376"/>
          <w:sz w:val="26"/>
        </w:rPr>
        <w:t>Abstract</w:t>
      </w:r>
    </w:p>
    <w:p>
      <w:pPr>
        <w:spacing w:line="324" w:lineRule="auto" w:after="100"/>
        <w:jc w:val="left"/>
      </w:pPr>
      <w:r>
        <w:rPr>
          <w:rFonts w:ascii="Microsoft YaHei" w:hAnsi="Microsoft YaHei" w:eastAsia="Microsoft YaHei"/>
          <w:b w:val="0"/>
          <w:color w:val="222222"/>
          <w:sz w:val="21"/>
        </w:rPr>
        <w:t>This report presents a complete Language+History solution for the doScenes Challenge. The task is to predict 6 seconds of future ego trajectory (12 points at 2 Hz) from 2 seconds of history and one natural-language instruction. Beyond absolute trajectory accuracy, the challenge explicitly evaluates language utility using Delta ADE (ADE_baseline - ADE_instruction).</w:t>
      </w:r>
    </w:p>
    <w:p>
      <w:pPr>
        <w:spacing w:line="324" w:lineRule="auto" w:after="100"/>
        <w:jc w:val="left"/>
      </w:pPr>
      <w:r>
        <w:rPr>
          <w:rFonts w:ascii="Microsoft YaHei" w:hAnsi="Microsoft YaHei" w:eastAsia="Microsoft YaHei"/>
          <w:b w:val="0"/>
          <w:color w:val="222222"/>
          <w:sz w:val="21"/>
        </w:rPr>
        <w:t>We build an end-to-end, reproducible pipeline that covers data processing, training, diagnostics, and submission export. The model uses DistilBERT as the text encoder, GRU as the history encoder, and cross-attention for multimodal fusion. To prevent language-collapse (instruction predictions degenerating into baseline-like predictions), we use a Dual-Head decoder design (instruction head and baseline head), non-empty instruction rebalancing, and ranking loss on language-available samples.</w:t>
      </w:r>
    </w:p>
    <w:p>
      <w:pPr>
        <w:spacing w:line="324" w:lineRule="auto" w:after="100"/>
        <w:jc w:val="left"/>
      </w:pPr>
      <w:r>
        <w:rPr>
          <w:rFonts w:ascii="Microsoft YaHei" w:hAnsi="Microsoft YaHei" w:eastAsia="Microsoft YaHei"/>
          <w:b w:val="0"/>
          <w:color w:val="222222"/>
          <w:sz w:val="21"/>
        </w:rPr>
        <w:t>In the final submission setup, the official instruction-conditioned evaluation reports ADE_instruction = 3.435528, ADE_baseline = 3.998661, Delta ADE = 0.563133, FDE_instruction = 8.289304, and Delta FDE = 0.359455. The corrected submission files also satisfy official protocol constraints, including exact row count and scene-token matching.</w:t>
      </w:r>
    </w:p>
    <w:p>
      <w:pPr>
        <w:spacing w:line="324" w:lineRule="auto" w:after="100"/>
        <w:jc w:val="left"/>
      </w:pPr>
      <w:r>
        <w:rPr>
          <w:rFonts w:ascii="Microsoft YaHei" w:hAnsi="Microsoft YaHei" w:eastAsia="Microsoft YaHei"/>
          <w:b w:val="0"/>
          <w:color w:val="222222"/>
          <w:sz w:val="21"/>
        </w:rPr>
        <w:t>Keywords: trajectory prediction, language-conditioned modeling, multimodal learning, dual-head decoding, doScenes challenge, Delta ADE</w:t>
      </w:r>
    </w:p>
    <w:p>
      <w:pPr>
        <w:pStyle w:val="Heading2"/>
        <w:spacing w:before="200" w:after="80"/>
      </w:pPr>
      <w:r>
        <w:rPr>
          <w:rFonts w:ascii="Microsoft YaHei" w:hAnsi="Microsoft YaHei" w:eastAsia="Microsoft YaHei"/>
          <w:b/>
          <w:color w:val="1A5376"/>
          <w:sz w:val="26"/>
        </w:rPr>
        <w:t>1. Introduction</w:t>
      </w:r>
    </w:p>
    <w:p>
      <w:pPr>
        <w:spacing w:line="324" w:lineRule="auto" w:after="100"/>
        <w:jc w:val="left"/>
      </w:pPr>
      <w:r>
        <w:rPr>
          <w:rFonts w:ascii="Microsoft YaHei" w:hAnsi="Microsoft YaHei" w:eastAsia="Microsoft YaHei"/>
          <w:b w:val="0"/>
          <w:color w:val="222222"/>
          <w:sz w:val="21"/>
        </w:rPr>
        <w:t>Trajectory prediction is a core module in autonomous driving and intelligent transportation systems. The goal is to estimate future motion from observed history. Classical methods primarily rely on trajectory history, interactions, or map context. For example, Social LSTM models multi-agent interactions with social pooling, while Trajectron++ extends interaction modeling with scene graphs and multimodal uncertainty.</w:t>
      </w:r>
    </w:p>
    <w:p>
      <w:pPr>
        <w:spacing w:line="324" w:lineRule="auto" w:after="100"/>
        <w:jc w:val="left"/>
      </w:pPr>
      <w:r>
        <w:rPr>
          <w:rFonts w:ascii="Microsoft YaHei" w:hAnsi="Microsoft YaHei" w:eastAsia="Microsoft YaHei"/>
          <w:b w:val="0"/>
          <w:color w:val="222222"/>
          <w:sz w:val="21"/>
        </w:rPr>
        <w:t>However, real driving intent is often easier to express through language than through coordinate history alone. Instructions such as "change to the left lane", "slow down and yield", or "continue straight behind the lead car" provide explicit semantic constraints that pure numerical history may not fully capture.</w:t>
      </w:r>
    </w:p>
    <w:p>
      <w:pPr>
        <w:spacing w:line="324" w:lineRule="auto" w:after="100"/>
        <w:jc w:val="left"/>
      </w:pPr>
      <w:r>
        <w:rPr>
          <w:rFonts w:ascii="Microsoft YaHei" w:hAnsi="Microsoft YaHei" w:eastAsia="Microsoft YaHei"/>
          <w:b w:val="0"/>
          <w:color w:val="222222"/>
          <w:sz w:val="21"/>
        </w:rPr>
        <w:t>The doScenes Challenge is designed around this idea. In the Language+History track, models must incorporate instruction text and produce open-loop single-shot future trajectories. This introduces three practical difficulties:</w:t>
      </w:r>
    </w:p>
    <w:p>
      <w:pPr>
        <w:pStyle w:val="ListNumber"/>
        <w:spacing w:line="300" w:lineRule="auto" w:after="40"/>
      </w:pPr>
      <w:r>
        <w:rPr>
          <w:rFonts w:ascii="Microsoft YaHei" w:hAnsi="Microsoft YaHei" w:eastAsia="Microsoft YaHei"/>
          <w:b w:val="0"/>
          <w:color w:val="222222"/>
          <w:sz w:val="21"/>
        </w:rPr>
        <w:t>Heterogeneous modality fusion: language and trajectory features live in very different representation spaces.</w:t>
      </w:r>
    </w:p>
    <w:p>
      <w:pPr>
        <w:pStyle w:val="ListNumber"/>
        <w:spacing w:line="300" w:lineRule="auto" w:after="40"/>
      </w:pPr>
      <w:r>
        <w:rPr>
          <w:rFonts w:ascii="Microsoft YaHei" w:hAnsi="Microsoft YaHei" w:eastAsia="Microsoft YaHei"/>
          <w:b w:val="0"/>
          <w:color w:val="222222"/>
          <w:sz w:val="21"/>
        </w:rPr>
        <w:t>Supervision imbalance: many samples include empty instructions, which can dilute language learning signals.</w:t>
      </w:r>
    </w:p>
    <w:p>
      <w:pPr>
        <w:pStyle w:val="ListNumber"/>
        <w:spacing w:line="300" w:lineRule="auto" w:after="40"/>
      </w:pPr>
      <w:r>
        <w:rPr>
          <w:rFonts w:ascii="Microsoft YaHei" w:hAnsi="Microsoft YaHei" w:eastAsia="Microsoft YaHei"/>
          <w:b w:val="0"/>
          <w:color w:val="222222"/>
          <w:sz w:val="21"/>
        </w:rPr>
        <w:t>Relative objective pressure: the model must both predict well and demonstrate measurable language gain (Delta ADE).</w:t>
      </w:r>
    </w:p>
    <w:p>
      <w:pPr>
        <w:spacing w:line="324" w:lineRule="auto" w:after="100"/>
        <w:jc w:val="left"/>
      </w:pPr>
      <w:r>
        <w:rPr>
          <w:rFonts w:ascii="Microsoft YaHei" w:hAnsi="Microsoft YaHei" w:eastAsia="Microsoft YaHei"/>
          <w:b w:val="0"/>
          <w:color w:val="222222"/>
          <w:sz w:val="21"/>
        </w:rPr>
        <w:t>In early iterations, we observed a common failure mode: even with text encoder integration, a model optimized only for generic regression can ignore text and converge to nearly identical instruction and baseline predictions (Delta ADE near zero). This work addresses that failure mode directly.</w:t>
      </w:r>
    </w:p>
    <w:p>
      <w:pPr>
        <w:spacing w:line="324" w:lineRule="auto" w:after="100"/>
        <w:jc w:val="left"/>
      </w:pPr>
      <w:r>
        <w:rPr>
          <w:rFonts w:ascii="Microsoft YaHei" w:hAnsi="Microsoft YaHei" w:eastAsia="Microsoft YaHei"/>
          <w:b w:val="0"/>
          <w:color w:val="222222"/>
          <w:sz w:val="21"/>
        </w:rPr>
        <w:t>Main contributions:</w:t>
      </w:r>
    </w:p>
    <w:p>
      <w:pPr>
        <w:pStyle w:val="ListNumber"/>
        <w:spacing w:line="300" w:lineRule="auto" w:after="40"/>
      </w:pPr>
      <w:r>
        <w:rPr>
          <w:rFonts w:ascii="Microsoft YaHei" w:hAnsi="Microsoft YaHei" w:eastAsia="Microsoft YaHei"/>
          <w:b w:val="0"/>
          <w:color w:val="222222"/>
          <w:sz w:val="21"/>
        </w:rPr>
        <w:t>A complete and reproducible engineering pipeline for doScenes Language+History.</w:t>
      </w:r>
    </w:p>
    <w:p>
      <w:pPr>
        <w:pStyle w:val="ListNumber"/>
        <w:spacing w:line="300" w:lineRule="auto" w:after="40"/>
      </w:pPr>
      <w:r>
        <w:rPr>
          <w:rFonts w:ascii="Microsoft YaHei" w:hAnsi="Microsoft YaHei" w:eastAsia="Microsoft YaHei"/>
          <w:b w:val="0"/>
          <w:color w:val="222222"/>
          <w:sz w:val="21"/>
        </w:rPr>
        <w:t>A Dual-Head architecture that structurally separates instruction and baseline prediction paths.</w:t>
      </w:r>
    </w:p>
    <w:p>
      <w:pPr>
        <w:pStyle w:val="ListNumber"/>
        <w:spacing w:line="300" w:lineRule="auto" w:after="40"/>
      </w:pPr>
      <w:r>
        <w:rPr>
          <w:rFonts w:ascii="Microsoft YaHei" w:hAnsi="Microsoft YaHei" w:eastAsia="Microsoft YaHei"/>
          <w:b w:val="0"/>
          <w:color w:val="222222"/>
          <w:sz w:val="21"/>
        </w:rPr>
        <w:t>A language-gain-oriented training strategy combining instruction rebalancing and ranking loss.</w:t>
      </w:r>
    </w:p>
    <w:p>
      <w:pPr>
        <w:pStyle w:val="ListNumber"/>
        <w:spacing w:line="300" w:lineRule="auto" w:after="40"/>
      </w:pPr>
      <w:r>
        <w:rPr>
          <w:rFonts w:ascii="Microsoft YaHei" w:hAnsi="Microsoft YaHei" w:eastAsia="Microsoft YaHei"/>
          <w:b w:val="0"/>
          <w:color w:val="222222"/>
          <w:sz w:val="21"/>
        </w:rPr>
        <w:t>Lower final instruction ADE under the official instruction-conditioned evaluation protocol together with corrected protocol-compliant submission outputs.</w:t>
      </w:r>
    </w:p>
    <w:p>
      <w:pPr>
        <w:pStyle w:val="Heading2"/>
        <w:spacing w:before="200" w:after="80"/>
      </w:pPr>
      <w:r>
        <w:rPr>
          <w:rFonts w:ascii="Microsoft YaHei" w:hAnsi="Microsoft YaHei" w:eastAsia="Microsoft YaHei"/>
          <w:b/>
          <w:color w:val="1A5376"/>
          <w:sz w:val="26"/>
        </w:rPr>
        <w:t>2. Challenge Protocol and Problem Definition</w:t>
      </w:r>
    </w:p>
    <w:p>
      <w:pPr>
        <w:pStyle w:val="Heading3"/>
        <w:spacing w:before="200" w:after="80"/>
      </w:pPr>
      <w:r>
        <w:rPr>
          <w:rFonts w:ascii="Microsoft YaHei" w:hAnsi="Microsoft YaHei" w:eastAsia="Microsoft YaHei"/>
          <w:b/>
          <w:color w:val="2D3E50"/>
          <w:sz w:val="23"/>
        </w:rPr>
        <w:t>2.1 Official protocol</w:t>
      </w:r>
    </w:p>
    <w:p>
      <w:pPr>
        <w:spacing w:line="324" w:lineRule="auto" w:after="100"/>
        <w:jc w:val="left"/>
      </w:pPr>
      <w:r>
        <w:rPr>
          <w:rFonts w:ascii="Microsoft YaHei" w:hAnsi="Microsoft YaHei" w:eastAsia="Microsoft YaHei"/>
          <w:b w:val="0"/>
          <w:color w:val="222222"/>
          <w:sz w:val="21"/>
        </w:rPr>
        <w:t>According to the challenge rules, the Language+History track requires future prediction over 6 seconds at 2 Hz, resulting in 12 future coordinates. Each query requires exactly one prediction row in the CSV file:</w:t>
      </w:r>
    </w:p>
    <w:p>
      <w:pPr>
        <w:spacing w:line="324" w:lineRule="auto" w:after="100"/>
        <w:jc w:val="left"/>
      </w:pPr>
      <w:r>
        <w:rPr>
          <w:rFonts w:ascii="Microsoft YaHei" w:hAnsi="Microsoft YaHei" w:eastAsia="Microsoft YaHei"/>
          <w:b w:val="0"/>
          <w:color w:val="222222"/>
          <w:sz w:val="21"/>
        </w:rPr>
        <w:t>sample_token,instruction,x1,y1,x2,y2,...,x12,y12</w:t>
      </w:r>
    </w:p>
    <w:p>
      <w:pPr>
        <w:spacing w:line="324" w:lineRule="auto" w:after="100"/>
        <w:jc w:val="left"/>
      </w:pPr>
      <w:r>
        <w:rPr>
          <w:rFonts w:ascii="Microsoft YaHei" w:hAnsi="Microsoft YaHei" w:eastAsia="Microsoft YaHei"/>
          <w:b w:val="0"/>
          <w:color w:val="222222"/>
          <w:sz w:val="21"/>
        </w:rPr>
        <w:t>Core metrics:</w:t>
      </w:r>
    </w:p>
    <w:p>
      <w:pPr>
        <w:pStyle w:val="ListBullet"/>
        <w:spacing w:line="300" w:lineRule="auto" w:after="40"/>
      </w:pPr>
      <w:r>
        <w:rPr>
          <w:rFonts w:ascii="Microsoft YaHei" w:hAnsi="Microsoft YaHei" w:eastAsia="Microsoft YaHei"/>
          <w:b w:val="0"/>
          <w:color w:val="222222"/>
          <w:sz w:val="21"/>
        </w:rPr>
        <w:t>ADE: average displacement error over all future timesteps.</w:t>
      </w:r>
    </w:p>
    <w:p>
      <w:pPr>
        <w:pStyle w:val="ListBullet"/>
        <w:spacing w:line="300" w:lineRule="auto" w:after="40"/>
      </w:pPr>
      <w:r>
        <w:rPr>
          <w:rFonts w:ascii="Microsoft YaHei" w:hAnsi="Microsoft YaHei" w:eastAsia="Microsoft YaHei"/>
          <w:b w:val="0"/>
          <w:color w:val="222222"/>
          <w:sz w:val="21"/>
        </w:rPr>
        <w:t>FDE: final displacement error at the last timestep.</w:t>
      </w:r>
    </w:p>
    <w:p>
      <w:pPr>
        <w:pStyle w:val="ListBullet"/>
        <w:spacing w:line="300" w:lineRule="auto" w:after="40"/>
      </w:pPr>
      <w:r>
        <w:rPr>
          <w:rFonts w:ascii="Microsoft YaHei" w:hAnsi="Microsoft YaHei" w:eastAsia="Microsoft YaHei"/>
          <w:b w:val="0"/>
          <w:color w:val="222222"/>
          <w:sz w:val="21"/>
        </w:rPr>
        <w:t>Delta ADE: ADE_baseline - ADE_instruction.</w:t>
      </w:r>
    </w:p>
    <w:p>
      <w:pPr>
        <w:pStyle w:val="Heading3"/>
        <w:spacing w:before="200" w:after="80"/>
      </w:pPr>
      <w:r>
        <w:rPr>
          <w:rFonts w:ascii="Microsoft YaHei" w:hAnsi="Microsoft YaHei" w:eastAsia="Microsoft YaHei"/>
          <w:b/>
          <w:color w:val="2D3E50"/>
          <w:sz w:val="23"/>
        </w:rPr>
        <w:t>2.2 Formulation used in this report</w:t>
      </w:r>
    </w:p>
    <w:p>
      <w:pPr>
        <w:spacing w:line="324" w:lineRule="auto" w:after="100"/>
        <w:jc w:val="left"/>
      </w:pPr>
      <w:r>
        <w:rPr>
          <w:rFonts w:ascii="Microsoft YaHei" w:hAnsi="Microsoft YaHei" w:eastAsia="Microsoft YaHei"/>
          <w:b w:val="0"/>
          <w:color w:val="222222"/>
          <w:sz w:val="21"/>
        </w:rPr>
        <w:t>Each sample is represented as:</w:t>
      </w:r>
    </w:p>
    <w:p>
      <w:pPr>
        <w:pStyle w:val="ListBullet"/>
        <w:spacing w:line="300" w:lineRule="auto" w:after="40"/>
      </w:pPr>
      <w:r>
        <w:rPr>
          <w:rFonts w:ascii="Microsoft YaHei" w:hAnsi="Microsoft YaHei" w:eastAsia="Microsoft YaHei"/>
          <w:b w:val="0"/>
          <w:color w:val="222222"/>
          <w:sz w:val="21"/>
        </w:rPr>
        <w:t>H = {(x_t, y_t)}_{t=1}^{T_h}: history trajectory (T_h corresponds to 2 seconds at 2 Hz).</w:t>
      </w:r>
    </w:p>
    <w:p>
      <w:pPr>
        <w:pStyle w:val="ListBullet"/>
        <w:spacing w:line="300" w:lineRule="auto" w:after="40"/>
      </w:pPr>
      <w:r>
        <w:rPr>
          <w:rFonts w:ascii="Microsoft YaHei" w:hAnsi="Microsoft YaHei" w:eastAsia="Microsoft YaHei"/>
          <w:b w:val="0"/>
          <w:color w:val="222222"/>
          <w:sz w:val="21"/>
        </w:rPr>
        <w:t>I: natural-language instruction (possibly empty).</w:t>
      </w:r>
    </w:p>
    <w:p>
      <w:pPr>
        <w:pStyle w:val="ListBullet"/>
        <w:spacing w:line="300" w:lineRule="auto" w:after="40"/>
      </w:pPr>
      <w:r>
        <w:rPr>
          <w:rFonts w:ascii="Microsoft YaHei" w:hAnsi="Microsoft YaHei" w:eastAsia="Microsoft YaHei"/>
          <w:b w:val="0"/>
          <w:color w:val="222222"/>
          <w:sz w:val="21"/>
        </w:rPr>
        <w:t>Y = {(x_t, y_t)}_{t=1}^{T_f}: future trajectory supervision (T_f = 12).</w:t>
      </w:r>
    </w:p>
    <w:p>
      <w:pPr>
        <w:spacing w:line="324" w:lineRule="auto" w:after="100"/>
        <w:jc w:val="left"/>
      </w:pPr>
      <w:r>
        <w:rPr>
          <w:rFonts w:ascii="Microsoft YaHei" w:hAnsi="Microsoft YaHei" w:eastAsia="Microsoft YaHei"/>
          <w:b w:val="0"/>
          <w:color w:val="222222"/>
          <w:sz w:val="21"/>
        </w:rPr>
        <w:t>The model learns:</w:t>
      </w:r>
    </w:p>
    <w:p>
      <w:pPr>
        <w:spacing w:line="324" w:lineRule="auto" w:after="100"/>
        <w:jc w:val="left"/>
      </w:pPr>
      <w:r>
        <w:rPr>
          <w:rFonts w:ascii="Microsoft YaHei" w:hAnsi="Microsoft YaHei" w:eastAsia="Microsoft YaHei"/>
          <w:b w:val="0"/>
          <w:color w:val="222222"/>
          <w:sz w:val="21"/>
        </w:rPr>
        <w:t>f(H, I) -&gt; Y_hat</w:t>
      </w:r>
    </w:p>
    <w:p>
      <w:pPr>
        <w:spacing w:line="324" w:lineRule="auto" w:after="100"/>
        <w:jc w:val="left"/>
      </w:pPr>
      <w:r>
        <w:rPr>
          <w:rFonts w:ascii="Microsoft YaHei" w:hAnsi="Microsoft YaHei" w:eastAsia="Microsoft YaHei"/>
          <w:b w:val="0"/>
          <w:color w:val="222222"/>
          <w:sz w:val="21"/>
        </w:rPr>
        <w:t>In implementation, trajectories are transformed into a local coordinate frame centered at the last observed point and optionally aligned by heading. Internal training uses normalized coordinates (coord_scale = 10) for numerical stability, while exported submission coordinates are rescaled back to meters.</w:t>
      </w:r>
    </w:p>
    <w:p>
      <w:pPr>
        <w:pStyle w:val="Heading2"/>
        <w:spacing w:before="200" w:after="80"/>
      </w:pPr>
      <w:r>
        <w:rPr>
          <w:rFonts w:ascii="Microsoft YaHei" w:hAnsi="Microsoft YaHei" w:eastAsia="Microsoft YaHei"/>
          <w:b/>
          <w:color w:val="1A5376"/>
          <w:sz w:val="26"/>
        </w:rPr>
        <w:t>3. Related Work</w:t>
      </w:r>
    </w:p>
    <w:p>
      <w:pPr>
        <w:pStyle w:val="Heading3"/>
        <w:spacing w:before="200" w:after="80"/>
      </w:pPr>
      <w:r>
        <w:rPr>
          <w:rFonts w:ascii="Microsoft YaHei" w:hAnsi="Microsoft YaHei" w:eastAsia="Microsoft YaHei"/>
          <w:b/>
          <w:color w:val="2D3E50"/>
          <w:sz w:val="23"/>
        </w:rPr>
        <w:t>3.1 Classical trajectory prediction</w:t>
      </w:r>
    </w:p>
    <w:p>
      <w:pPr>
        <w:spacing w:line="324" w:lineRule="auto" w:after="100"/>
        <w:jc w:val="left"/>
      </w:pPr>
      <w:r>
        <w:rPr>
          <w:rFonts w:ascii="Microsoft YaHei" w:hAnsi="Microsoft YaHei" w:eastAsia="Microsoft YaHei"/>
          <w:b w:val="0"/>
          <w:color w:val="222222"/>
          <w:sz w:val="21"/>
        </w:rPr>
        <w:t>Social LSTM established interaction-aware recurrent prediction with social pooling. Trajectron++ further improved dynamics-aware and multimodal modeling with graph-based structures. These methods provide strong history-interaction baselines but generally do not directly model free-form language instructions.</w:t>
      </w:r>
    </w:p>
    <w:p>
      <w:pPr>
        <w:pStyle w:val="Heading3"/>
        <w:spacing w:before="200" w:after="80"/>
      </w:pPr>
      <w:r>
        <w:rPr>
          <w:rFonts w:ascii="Microsoft YaHei" w:hAnsi="Microsoft YaHei" w:eastAsia="Microsoft YaHei"/>
          <w:b/>
          <w:color w:val="2D3E50"/>
          <w:sz w:val="23"/>
        </w:rPr>
        <w:t>3.2 Transformer and pretrained language encoders</w:t>
      </w:r>
    </w:p>
    <w:p>
      <w:pPr>
        <w:spacing w:line="324" w:lineRule="auto" w:after="100"/>
        <w:jc w:val="left"/>
      </w:pPr>
      <w:r>
        <w:rPr>
          <w:rFonts w:ascii="Microsoft YaHei" w:hAnsi="Microsoft YaHei" w:eastAsia="Microsoft YaHei"/>
          <w:b w:val="0"/>
          <w:color w:val="222222"/>
          <w:sz w:val="21"/>
        </w:rPr>
        <w:t>Transformer attention enables flexible long-range and cross-modal feature learning. BERT and its compressed variant DistilBERT provide strong language representations. DistilBERT is especially practical in medium-size datasets and constrained training environments, making it a suitable encoder for this challenge.</w:t>
      </w:r>
    </w:p>
    <w:p>
      <w:pPr>
        <w:pStyle w:val="Heading3"/>
        <w:spacing w:before="200" w:after="80"/>
      </w:pPr>
      <w:r>
        <w:rPr>
          <w:rFonts w:ascii="Microsoft YaHei" w:hAnsi="Microsoft YaHei" w:eastAsia="Microsoft YaHei"/>
          <w:b/>
          <w:color w:val="2D3E50"/>
          <w:sz w:val="23"/>
        </w:rPr>
        <w:t>3.3 Language-conditioned trajectory prediction</w:t>
      </w:r>
    </w:p>
    <w:p>
      <w:pPr>
        <w:spacing w:line="324" w:lineRule="auto" w:after="100"/>
        <w:jc w:val="left"/>
      </w:pPr>
      <w:r>
        <w:rPr>
          <w:rFonts w:ascii="Microsoft YaHei" w:hAnsi="Microsoft YaHei" w:eastAsia="Microsoft YaHei"/>
          <w:b w:val="0"/>
          <w:color w:val="222222"/>
          <w:sz w:val="21"/>
        </w:rPr>
        <w:t>Recent works (including language-based multimodal trajectory prediction studies) show that language can complement trajectory history by encoding intent-level constraints. doScenes systematizes this setting in autonomous driving by providing instruction-annotated trajectory scenes and challenge benchmarks.</w:t>
      </w:r>
    </w:p>
    <w:p>
      <w:pPr>
        <w:pStyle w:val="Heading2"/>
        <w:spacing w:before="200" w:after="80"/>
      </w:pPr>
      <w:r>
        <w:rPr>
          <w:rFonts w:ascii="Microsoft YaHei" w:hAnsi="Microsoft YaHei" w:eastAsia="Microsoft YaHei"/>
          <w:b/>
          <w:color w:val="1A5376"/>
          <w:sz w:val="26"/>
        </w:rPr>
        <w:t>4. Data, Cleaning, and Sample Construction</w:t>
      </w:r>
    </w:p>
    <w:p>
      <w:pPr>
        <w:pStyle w:val="Heading3"/>
        <w:spacing w:before="200" w:after="80"/>
      </w:pPr>
      <w:r>
        <w:rPr>
          <w:rFonts w:ascii="Microsoft YaHei" w:hAnsi="Microsoft YaHei" w:eastAsia="Microsoft YaHei"/>
          <w:b/>
          <w:color w:val="2D3E50"/>
          <w:sz w:val="23"/>
        </w:rPr>
        <w:t>4.1 Data source</w:t>
      </w:r>
    </w:p>
    <w:p>
      <w:pPr>
        <w:spacing w:line="324" w:lineRule="auto" w:after="100"/>
        <w:jc w:val="left"/>
      </w:pPr>
      <w:r>
        <w:rPr>
          <w:rFonts w:ascii="Microsoft YaHei" w:hAnsi="Microsoft YaHei" w:eastAsia="Microsoft YaHei"/>
          <w:b w:val="0"/>
          <w:color w:val="222222"/>
          <w:sz w:val="21"/>
        </w:rPr>
        <w:t>We construct training samples by joining doScenes annotation CSV files with nuScenes scene metadata. Each annotation row includes fields such as scene_number, instruction_type, and instruction. Scene matching is done through normalized scene naming and token lookup.</w:t>
      </w:r>
    </w:p>
    <w:p>
      <w:pPr>
        <w:pStyle w:val="Heading3"/>
        <w:spacing w:before="200" w:after="80"/>
      </w:pPr>
      <w:r>
        <w:rPr>
          <w:rFonts w:ascii="Microsoft YaHei" w:hAnsi="Microsoft YaHei" w:eastAsia="Microsoft YaHei"/>
          <w:b/>
          <w:color w:val="2D3E50"/>
          <w:sz w:val="23"/>
        </w:rPr>
        <w:t>4.2 Cleaning rules</w:t>
      </w:r>
    </w:p>
    <w:p>
      <w:pPr>
        <w:spacing w:line="324" w:lineRule="auto" w:after="100"/>
        <w:jc w:val="left"/>
      </w:pPr>
      <w:r>
        <w:rPr>
          <w:rFonts w:ascii="Microsoft YaHei" w:hAnsi="Microsoft YaHei" w:eastAsia="Microsoft YaHei"/>
          <w:b w:val="0"/>
          <w:color w:val="222222"/>
          <w:sz w:val="21"/>
        </w:rPr>
        <w:t>To ensure valid supervision without over-filtering, we apply:</w:t>
      </w:r>
    </w:p>
    <w:p>
      <w:pPr>
        <w:pStyle w:val="ListNumber"/>
        <w:spacing w:line="300" w:lineRule="auto" w:after="40"/>
      </w:pPr>
      <w:r>
        <w:rPr>
          <w:rFonts w:ascii="Microsoft YaHei" w:hAnsi="Microsoft YaHei" w:eastAsia="Microsoft YaHei"/>
          <w:b w:val="0"/>
          <w:color w:val="222222"/>
          <w:sz w:val="21"/>
        </w:rPr>
        <w:t>Column normalization and text cleanup.</w:t>
      </w:r>
    </w:p>
    <w:p>
      <w:pPr>
        <w:pStyle w:val="ListNumber"/>
        <w:spacing w:line="300" w:lineRule="auto" w:after="40"/>
      </w:pPr>
      <w:r>
        <w:rPr>
          <w:rFonts w:ascii="Microsoft YaHei" w:hAnsi="Microsoft YaHei" w:eastAsia="Microsoft YaHei"/>
          <w:b w:val="0"/>
          <w:color w:val="222222"/>
          <w:sz w:val="21"/>
        </w:rPr>
        <w:t>Removal of invalid or non-parsable scene identifiers.</w:t>
      </w:r>
    </w:p>
    <w:p>
      <w:pPr>
        <w:pStyle w:val="ListNumber"/>
        <w:spacing w:line="300" w:lineRule="auto" w:after="40"/>
      </w:pPr>
      <w:r>
        <w:rPr>
          <w:rFonts w:ascii="Microsoft YaHei" w:hAnsi="Microsoft YaHei" w:eastAsia="Microsoft YaHei"/>
          <w:b w:val="0"/>
          <w:color w:val="222222"/>
          <w:sz w:val="21"/>
        </w:rPr>
        <w:t>Retention of empty-instruction rows as valid baseline-like queries.</w:t>
      </w:r>
    </w:p>
    <w:p>
      <w:pPr>
        <w:pStyle w:val="ListNumber"/>
        <w:spacing w:line="300" w:lineRule="auto" w:after="40"/>
      </w:pPr>
      <w:r>
        <w:rPr>
          <w:rFonts w:ascii="Microsoft YaHei" w:hAnsi="Microsoft YaHei" w:eastAsia="Microsoft YaHei"/>
          <w:b w:val="0"/>
          <w:color w:val="222222"/>
          <w:sz w:val="21"/>
        </w:rPr>
        <w:t>Removal of rows that fail scene matching.</w:t>
      </w:r>
    </w:p>
    <w:p>
      <w:pPr>
        <w:pStyle w:val="ListNumber"/>
        <w:spacing w:line="300" w:lineRule="auto" w:after="40"/>
      </w:pPr>
      <w:r>
        <w:rPr>
          <w:rFonts w:ascii="Microsoft YaHei" w:hAnsi="Microsoft YaHei" w:eastAsia="Microsoft YaHei"/>
          <w:b w:val="0"/>
          <w:color w:val="222222"/>
          <w:sz w:val="21"/>
        </w:rPr>
        <w:t>End-frame padding for short sequences when required.</w:t>
      </w:r>
    </w:p>
    <w:p>
      <w:pPr>
        <w:pStyle w:val="ListNumber"/>
        <w:spacing w:line="300" w:lineRule="auto" w:after="40"/>
      </w:pPr>
      <w:r>
        <w:rPr>
          <w:rFonts w:ascii="Microsoft YaHei" w:hAnsi="Microsoft YaHei" w:eastAsia="Microsoft YaHei"/>
          <w:b w:val="0"/>
          <w:color w:val="222222"/>
          <w:sz w:val="21"/>
        </w:rPr>
        <w:t>Consistent coordinate transforms across train/eval/export.</w:t>
      </w:r>
    </w:p>
    <w:p>
      <w:pPr>
        <w:pStyle w:val="Heading3"/>
        <w:spacing w:before="200" w:after="80"/>
      </w:pPr>
      <w:r>
        <w:rPr>
          <w:rFonts w:ascii="Microsoft YaHei" w:hAnsi="Microsoft YaHei" w:eastAsia="Microsoft YaHei"/>
          <w:b/>
          <w:color w:val="2D3E50"/>
          <w:sz w:val="23"/>
        </w:rPr>
        <w:t>4.3 Data profile</w:t>
      </w:r>
    </w:p>
    <w:p>
      <w:pPr>
        <w:spacing w:line="324" w:lineRule="auto" w:after="100"/>
        <w:jc w:val="left"/>
      </w:pPr>
      <w:r>
        <w:rPr>
          <w:rFonts w:ascii="Microsoft YaHei" w:hAnsi="Microsoft YaHei" w:eastAsia="Microsoft YaHei"/>
          <w:b w:val="0"/>
          <w:color w:val="222222"/>
          <w:sz w:val="21"/>
        </w:rPr>
        <w:t>In the current setup:</w:t>
      </w:r>
    </w:p>
    <w:tbl>
      <w:tblPr>
        <w:tblStyle w:val="TableGrid"/>
        <w:tblW w:type="auto" w:w="0"/>
        <w:tblLayout w:type="autofit"/>
        <w:tblLook w:firstColumn="1" w:firstRow="1" w:lastColumn="0" w:lastRow="0" w:noHBand="0" w:noVBand="1" w:val="04A0"/>
      </w:tblPr>
      <w:tblGrid>
        <w:gridCol w:w="4816"/>
        <w:gridCol w:w="4816"/>
      </w:tblGrid>
      <w:tr>
        <w:tc>
          <w:tcPr>
            <w:tcW w:type="dxa" w:w="4816"/>
            <w:shd w:fill="DCE6F1"/>
          </w:tcPr>
          <w:p>
            <w:pPr>
              <w:jc w:val="center"/>
            </w:pPr>
            <w:r>
              <w:rPr>
                <w:rFonts w:ascii="Microsoft YaHei" w:hAnsi="Microsoft YaHei" w:eastAsia="Microsoft YaHei"/>
                <w:b/>
                <w:color w:val="0F3359"/>
                <w:sz w:val="20"/>
              </w:rPr>
              <w:t>Item</w:t>
            </w:r>
          </w:p>
        </w:tc>
        <w:tc>
          <w:tcPr>
            <w:tcW w:type="dxa" w:w="4816"/>
            <w:shd w:fill="DCE6F1"/>
          </w:tcPr>
          <w:p>
            <w:pPr>
              <w:jc w:val="center"/>
            </w:pPr>
            <w:r>
              <w:rPr>
                <w:rFonts w:ascii="Microsoft YaHei" w:hAnsi="Microsoft YaHei" w:eastAsia="Microsoft YaHei"/>
                <w:b/>
                <w:color w:val="0F3359"/>
                <w:sz w:val="20"/>
              </w:rPr>
              <w:t>Value</w:t>
            </w:r>
          </w:p>
        </w:tc>
      </w:tr>
      <w:tr>
        <w:tc>
          <w:tcPr>
            <w:tcW w:type="dxa" w:w="4816"/>
          </w:tcPr>
          <w:p>
            <w:pPr>
              <w:jc w:val="left"/>
            </w:pPr>
            <w:r>
              <w:rPr>
                <w:rFonts w:ascii="Microsoft YaHei" w:hAnsi="Microsoft YaHei" w:eastAsia="Microsoft YaHei"/>
                <w:b w:val="0"/>
                <w:color w:val="222222"/>
                <w:sz w:val="20"/>
              </w:rPr>
              <w:t>Total annotation rows</w:t>
            </w:r>
          </w:p>
        </w:tc>
        <w:tc>
          <w:tcPr>
            <w:tcW w:type="dxa" w:w="4816"/>
          </w:tcPr>
          <w:p>
            <w:pPr>
              <w:jc w:val="center"/>
            </w:pPr>
            <w:r>
              <w:rPr>
                <w:rFonts w:ascii="Microsoft YaHei" w:hAnsi="Microsoft YaHei" w:eastAsia="Microsoft YaHei"/>
                <w:b w:val="0"/>
                <w:color w:val="222222"/>
                <w:sz w:val="20"/>
              </w:rPr>
              <w:t>4729</w:t>
            </w:r>
          </w:p>
        </w:tc>
      </w:tr>
      <w:tr>
        <w:tc>
          <w:tcPr>
            <w:tcW w:type="dxa" w:w="4816"/>
          </w:tcPr>
          <w:p>
            <w:pPr>
              <w:jc w:val="left"/>
            </w:pPr>
            <w:r>
              <w:rPr>
                <w:rFonts w:ascii="Microsoft YaHei" w:hAnsi="Microsoft YaHei" w:eastAsia="Microsoft YaHei"/>
                <w:b w:val="0"/>
                <w:color w:val="222222"/>
                <w:sz w:val="20"/>
              </w:rPr>
              <w:t>Empty-instruction rows</w:t>
            </w:r>
          </w:p>
        </w:tc>
        <w:tc>
          <w:tcPr>
            <w:tcW w:type="dxa" w:w="4816"/>
          </w:tcPr>
          <w:p>
            <w:pPr>
              <w:jc w:val="center"/>
            </w:pPr>
            <w:r>
              <w:rPr>
                <w:rFonts w:ascii="Microsoft YaHei" w:hAnsi="Microsoft YaHei" w:eastAsia="Microsoft YaHei"/>
                <w:b w:val="0"/>
                <w:color w:val="222222"/>
                <w:sz w:val="20"/>
              </w:rPr>
              <w:t>2279</w:t>
            </w:r>
          </w:p>
        </w:tc>
      </w:tr>
      <w:tr>
        <w:tc>
          <w:tcPr>
            <w:tcW w:type="dxa" w:w="4816"/>
          </w:tcPr>
          <w:p>
            <w:pPr>
              <w:jc w:val="left"/>
            </w:pPr>
            <w:r>
              <w:rPr>
                <w:rFonts w:ascii="Microsoft YaHei" w:hAnsi="Microsoft YaHei" w:eastAsia="Microsoft YaHei"/>
                <w:b w:val="0"/>
                <w:color w:val="222222"/>
                <w:sz w:val="20"/>
              </w:rPr>
              <w:t>Non-empty instruction rows</w:t>
            </w:r>
          </w:p>
        </w:tc>
        <w:tc>
          <w:tcPr>
            <w:tcW w:type="dxa" w:w="4816"/>
          </w:tcPr>
          <w:p>
            <w:pPr>
              <w:jc w:val="center"/>
            </w:pPr>
            <w:r>
              <w:rPr>
                <w:rFonts w:ascii="Microsoft YaHei" w:hAnsi="Microsoft YaHei" w:eastAsia="Microsoft YaHei"/>
                <w:b w:val="0"/>
                <w:color w:val="222222"/>
                <w:sz w:val="20"/>
              </w:rPr>
              <w:t>2450</w:t>
            </w:r>
          </w:p>
        </w:tc>
      </w:tr>
      <w:tr>
        <w:tc>
          <w:tcPr>
            <w:tcW w:type="dxa" w:w="4816"/>
          </w:tcPr>
          <w:p>
            <w:pPr>
              <w:jc w:val="left"/>
            </w:pPr>
            <w:r>
              <w:rPr>
                <w:rFonts w:ascii="Microsoft YaHei" w:hAnsi="Microsoft YaHei" w:eastAsia="Microsoft YaHei"/>
                <w:b w:val="0"/>
                <w:color w:val="222222"/>
                <w:sz w:val="20"/>
              </w:rPr>
              <w:t>Empty ratio</w:t>
            </w:r>
          </w:p>
        </w:tc>
        <w:tc>
          <w:tcPr>
            <w:tcW w:type="dxa" w:w="4816"/>
          </w:tcPr>
          <w:p>
            <w:pPr>
              <w:jc w:val="center"/>
            </w:pPr>
            <w:r>
              <w:rPr>
                <w:rFonts w:ascii="Microsoft YaHei" w:hAnsi="Microsoft YaHei" w:eastAsia="Microsoft YaHei"/>
                <w:b w:val="0"/>
                <w:color w:val="222222"/>
                <w:sz w:val="20"/>
              </w:rPr>
              <w:t>48.19%</w:t>
            </w:r>
          </w:p>
        </w:tc>
      </w:tr>
      <w:tr>
        <w:tc>
          <w:tcPr>
            <w:tcW w:type="dxa" w:w="4816"/>
          </w:tcPr>
          <w:p>
            <w:pPr>
              <w:jc w:val="left"/>
            </w:pPr>
            <w:r>
              <w:rPr>
                <w:rFonts w:ascii="Microsoft YaHei" w:hAnsi="Microsoft YaHei" w:eastAsia="Microsoft YaHei"/>
                <w:b w:val="0"/>
                <w:color w:val="222222"/>
                <w:sz w:val="20"/>
              </w:rPr>
              <w:t>Unique scenes</w:t>
            </w:r>
          </w:p>
        </w:tc>
        <w:tc>
          <w:tcPr>
            <w:tcW w:type="dxa" w:w="4816"/>
          </w:tcPr>
          <w:p>
            <w:pPr>
              <w:jc w:val="center"/>
            </w:pPr>
            <w:r>
              <w:rPr>
                <w:rFonts w:ascii="Microsoft YaHei" w:hAnsi="Microsoft YaHei" w:eastAsia="Microsoft YaHei"/>
                <w:b w:val="0"/>
                <w:color w:val="222222"/>
                <w:sz w:val="20"/>
              </w:rPr>
              <w:t>1004</w:t>
            </w:r>
          </w:p>
        </w:tc>
      </w:tr>
    </w:tbl>
    <w:p/>
    <w:p>
      <w:pPr>
        <w:spacing w:line="324" w:lineRule="auto" w:after="100"/>
        <w:jc w:val="left"/>
      </w:pPr>
      <w:r>
        <w:rPr>
          <w:rFonts w:ascii="Microsoft YaHei" w:hAnsi="Microsoft YaHei" w:eastAsia="Microsoft YaHei"/>
          <w:b w:val="0"/>
          <w:color w:val="222222"/>
          <w:sz w:val="21"/>
        </w:rPr>
        <w:t>This near-50% empty ratio motivates explicit rebalancing strategies for language learning.</w:t>
      </w:r>
    </w:p>
    <w:p>
      <w:pPr>
        <w:pStyle w:val="Heading3"/>
        <w:spacing w:before="200" w:after="80"/>
      </w:pPr>
      <w:r>
        <w:rPr>
          <w:rFonts w:ascii="Microsoft YaHei" w:hAnsi="Microsoft YaHei" w:eastAsia="Microsoft YaHei"/>
          <w:b/>
          <w:color w:val="2D3E50"/>
          <w:sz w:val="23"/>
        </w:rPr>
        <w:t>4.4 Coordinate transform</w:t>
      </w:r>
    </w:p>
    <w:p>
      <w:pPr>
        <w:spacing w:line="324" w:lineRule="auto" w:after="100"/>
        <w:jc w:val="left"/>
      </w:pPr>
      <w:r>
        <w:rPr>
          <w:rFonts w:ascii="Microsoft YaHei" w:hAnsi="Microsoft YaHei" w:eastAsia="Microsoft YaHei"/>
          <w:b w:val="0"/>
          <w:color w:val="222222"/>
          <w:sz w:val="21"/>
        </w:rPr>
        <w:t>Default construction parameters:</w:t>
      </w:r>
    </w:p>
    <w:p>
      <w:pPr>
        <w:pStyle w:val="ListBullet"/>
        <w:spacing w:line="300" w:lineRule="auto" w:after="40"/>
      </w:pPr>
      <w:r>
        <w:rPr>
          <w:rFonts w:ascii="Microsoft YaHei" w:hAnsi="Microsoft YaHei" w:eastAsia="Microsoft YaHei"/>
          <w:b w:val="0"/>
          <w:color w:val="222222"/>
          <w:sz w:val="21"/>
        </w:rPr>
        <w:t>hist_sec = 2.0</w:t>
      </w:r>
    </w:p>
    <w:p>
      <w:pPr>
        <w:pStyle w:val="ListBullet"/>
        <w:spacing w:line="300" w:lineRule="auto" w:after="40"/>
      </w:pPr>
      <w:r>
        <w:rPr>
          <w:rFonts w:ascii="Microsoft YaHei" w:hAnsi="Microsoft YaHei" w:eastAsia="Microsoft YaHei"/>
          <w:b w:val="0"/>
          <w:color w:val="222222"/>
          <w:sz w:val="21"/>
        </w:rPr>
        <w:t>fut_sec = 6.0</w:t>
      </w:r>
    </w:p>
    <w:p>
      <w:pPr>
        <w:pStyle w:val="ListBullet"/>
        <w:spacing w:line="300" w:lineRule="auto" w:after="40"/>
      </w:pPr>
      <w:r>
        <w:rPr>
          <w:rFonts w:ascii="Microsoft YaHei" w:hAnsi="Microsoft YaHei" w:eastAsia="Microsoft YaHei"/>
          <w:b w:val="0"/>
          <w:color w:val="222222"/>
          <w:sz w:val="21"/>
        </w:rPr>
        <w:t>sample_freq = 2.0</w:t>
      </w:r>
    </w:p>
    <w:p>
      <w:pPr>
        <w:pStyle w:val="ListBullet"/>
        <w:spacing w:line="300" w:lineRule="auto" w:after="40"/>
      </w:pPr>
      <w:r>
        <w:rPr>
          <w:rFonts w:ascii="Microsoft YaHei" w:hAnsi="Microsoft YaHei" w:eastAsia="Microsoft YaHei"/>
          <w:b w:val="0"/>
          <w:color w:val="222222"/>
          <w:sz w:val="21"/>
        </w:rPr>
        <w:t>coord_scale = 10.0</w:t>
      </w:r>
    </w:p>
    <w:p>
      <w:pPr>
        <w:pStyle w:val="ListBullet"/>
        <w:spacing w:line="300" w:lineRule="auto" w:after="40"/>
      </w:pPr>
      <w:r>
        <w:rPr>
          <w:rFonts w:ascii="Microsoft YaHei" w:hAnsi="Microsoft YaHei" w:eastAsia="Microsoft YaHei"/>
          <w:b w:val="0"/>
          <w:color w:val="222222"/>
          <w:sz w:val="21"/>
        </w:rPr>
        <w:t>window_stride = 2</w:t>
      </w:r>
    </w:p>
    <w:p>
      <w:pPr>
        <w:spacing w:line="324" w:lineRule="auto" w:after="100"/>
        <w:jc w:val="left"/>
      </w:pPr>
      <w:r>
        <w:rPr>
          <w:rFonts w:ascii="Microsoft YaHei" w:hAnsi="Microsoft YaHei" w:eastAsia="Microsoft YaHei"/>
          <w:b w:val="0"/>
          <w:color w:val="222222"/>
          <w:sz w:val="21"/>
        </w:rPr>
        <w:t>Both history and future are converted to local coordinates around the anchor (last observed point), with optional heading alignment. Training uses normalized coordinates; submission export restores meter units.</w:t>
      </w:r>
    </w:p>
    <w:p>
      <w:pPr>
        <w:pStyle w:val="Heading2"/>
        <w:spacing w:before="200" w:after="80"/>
      </w:pPr>
      <w:r>
        <w:rPr>
          <w:rFonts w:ascii="Microsoft YaHei" w:hAnsi="Microsoft YaHei" w:eastAsia="Microsoft YaHei"/>
          <w:b/>
          <w:color w:val="1A5376"/>
          <w:sz w:val="26"/>
        </w:rPr>
        <w:t>5. Method</w:t>
      </w:r>
    </w:p>
    <w:p>
      <w:pPr>
        <w:pStyle w:val="Heading3"/>
        <w:spacing w:before="200" w:after="80"/>
      </w:pPr>
      <w:r>
        <w:rPr>
          <w:rFonts w:ascii="Microsoft YaHei" w:hAnsi="Microsoft YaHei" w:eastAsia="Microsoft YaHei"/>
          <w:b/>
          <w:color w:val="2D3E50"/>
          <w:sz w:val="23"/>
        </w:rPr>
        <w:t>5.1 Design objective</w:t>
      </w:r>
    </w:p>
    <w:p>
      <w:pPr>
        <w:spacing w:line="324" w:lineRule="auto" w:after="100"/>
        <w:jc w:val="left"/>
      </w:pPr>
      <w:r>
        <w:rPr>
          <w:rFonts w:ascii="Microsoft YaHei" w:hAnsi="Microsoft YaHei" w:eastAsia="Microsoft YaHei"/>
          <w:b w:val="0"/>
          <w:color w:val="222222"/>
          <w:sz w:val="21"/>
        </w:rPr>
        <w:t>The primary objective is not only lower ADE, but stable positive Delta ADE. The model should:</w:t>
      </w:r>
    </w:p>
    <w:p>
      <w:pPr>
        <w:pStyle w:val="ListNumber"/>
        <w:spacing w:line="300" w:lineRule="auto" w:after="40"/>
      </w:pPr>
      <w:r>
        <w:rPr>
          <w:rFonts w:ascii="Microsoft YaHei" w:hAnsi="Microsoft YaHei" w:eastAsia="Microsoft YaHei"/>
          <w:b w:val="0"/>
          <w:color w:val="222222"/>
          <w:sz w:val="21"/>
        </w:rPr>
        <w:t>Capture short-term motion trend from history.</w:t>
      </w:r>
    </w:p>
    <w:p>
      <w:pPr>
        <w:pStyle w:val="ListNumber"/>
        <w:spacing w:line="300" w:lineRule="auto" w:after="40"/>
      </w:pPr>
      <w:r>
        <w:rPr>
          <w:rFonts w:ascii="Microsoft YaHei" w:hAnsi="Microsoft YaHei" w:eastAsia="Microsoft YaHei"/>
          <w:b w:val="0"/>
          <w:color w:val="222222"/>
          <w:sz w:val="21"/>
        </w:rPr>
        <w:t>Encode instruction semantics reliably.</w:t>
      </w:r>
    </w:p>
    <w:p>
      <w:pPr>
        <w:pStyle w:val="ListNumber"/>
        <w:spacing w:line="300" w:lineRule="auto" w:after="40"/>
      </w:pPr>
      <w:r>
        <w:rPr>
          <w:rFonts w:ascii="Microsoft YaHei" w:hAnsi="Microsoft YaHei" w:eastAsia="Microsoft YaHei"/>
          <w:b w:val="0"/>
          <w:color w:val="222222"/>
          <w:sz w:val="21"/>
        </w:rPr>
        <w:t>Use language to outperform a matched no-language baseline when instruction is available.</w:t>
      </w:r>
    </w:p>
    <w:p>
      <w:pPr>
        <w:pStyle w:val="Heading3"/>
        <w:spacing w:before="200" w:after="80"/>
      </w:pPr>
      <w:r>
        <w:rPr>
          <w:rFonts w:ascii="Microsoft YaHei" w:hAnsi="Microsoft YaHei" w:eastAsia="Microsoft YaHei"/>
          <w:b/>
          <w:color w:val="2D3E50"/>
          <w:sz w:val="23"/>
        </w:rPr>
        <w:t>5.2 Text encoder</w:t>
      </w:r>
    </w:p>
    <w:p>
      <w:pPr>
        <w:spacing w:line="324" w:lineRule="auto" w:after="100"/>
        <w:jc w:val="left"/>
      </w:pPr>
      <w:r>
        <w:rPr>
          <w:rFonts w:ascii="Microsoft YaHei" w:hAnsi="Microsoft YaHei" w:eastAsia="Microsoft YaHei"/>
          <w:b w:val="0"/>
          <w:color w:val="222222"/>
          <w:sz w:val="21"/>
        </w:rPr>
        <w:t>DistilBERT encodes instruction text. We keep token-level representations for attention-based cross-modal fusion instead of collapsing directly into a single sentence vector.</w:t>
      </w:r>
    </w:p>
    <w:p>
      <w:pPr>
        <w:pStyle w:val="Heading3"/>
        <w:spacing w:before="200" w:after="80"/>
      </w:pPr>
      <w:r>
        <w:rPr>
          <w:rFonts w:ascii="Microsoft YaHei" w:hAnsi="Microsoft YaHei" w:eastAsia="Microsoft YaHei"/>
          <w:b/>
          <w:color w:val="2D3E50"/>
          <w:sz w:val="23"/>
        </w:rPr>
        <w:t>5.3 History encoder</w:t>
      </w:r>
    </w:p>
    <w:p>
      <w:pPr>
        <w:spacing w:line="324" w:lineRule="auto" w:after="100"/>
        <w:jc w:val="left"/>
      </w:pPr>
      <w:r>
        <w:rPr>
          <w:rFonts w:ascii="Microsoft YaHei" w:hAnsi="Microsoft YaHei" w:eastAsia="Microsoft YaHei"/>
          <w:b w:val="0"/>
          <w:color w:val="222222"/>
          <w:sz w:val="21"/>
        </w:rPr>
        <w:t>A single-layer GRU encodes history trajectory after linear projection into hidden space. The final hidden state serves as motion context.</w:t>
      </w:r>
    </w:p>
    <w:p>
      <w:pPr>
        <w:pStyle w:val="Heading3"/>
        <w:spacing w:before="200" w:after="80"/>
      </w:pPr>
      <w:r>
        <w:rPr>
          <w:rFonts w:ascii="Microsoft YaHei" w:hAnsi="Microsoft YaHei" w:eastAsia="Microsoft YaHei"/>
          <w:b/>
          <w:color w:val="2D3E50"/>
          <w:sz w:val="23"/>
        </w:rPr>
        <w:t>5.4 Cross-modal fusion</w:t>
      </w:r>
    </w:p>
    <w:p>
      <w:pPr>
        <w:spacing w:line="324" w:lineRule="auto" w:after="100"/>
        <w:jc w:val="left"/>
      </w:pPr>
      <w:r>
        <w:rPr>
          <w:rFonts w:ascii="Microsoft YaHei" w:hAnsi="Microsoft YaHei" w:eastAsia="Microsoft YaHei"/>
          <w:b w:val="0"/>
          <w:color w:val="222222"/>
          <w:sz w:val="21"/>
        </w:rPr>
        <w:t>Trajectory features act as queries over text token features (keys/values) through multi-head cross-attention. The fused representation then passes through MLP and residual normalization.</w:t>
      </w:r>
    </w:p>
    <w:p>
      <w:pPr>
        <w:pStyle w:val="Heading3"/>
        <w:spacing w:before="200" w:after="80"/>
      </w:pPr>
      <w:r>
        <w:rPr>
          <w:rFonts w:ascii="Microsoft YaHei" w:hAnsi="Microsoft YaHei" w:eastAsia="Microsoft YaHei"/>
          <w:b/>
          <w:color w:val="2D3E50"/>
          <w:sz w:val="23"/>
        </w:rPr>
        <w:t>5.5 Dual-Head decoder</w:t>
      </w:r>
    </w:p>
    <w:p>
      <w:pPr>
        <w:spacing w:line="324" w:lineRule="auto" w:after="100"/>
        <w:jc w:val="left"/>
      </w:pPr>
      <w:r>
        <w:rPr>
          <w:rFonts w:ascii="Microsoft YaHei" w:hAnsi="Microsoft YaHei" w:eastAsia="Microsoft YaHei"/>
          <w:b w:val="0"/>
          <w:color w:val="222222"/>
          <w:sz w:val="21"/>
        </w:rPr>
        <w:t>Two separate decoders are used:</w:t>
      </w:r>
    </w:p>
    <w:p>
      <w:pPr>
        <w:pStyle w:val="ListBullet"/>
        <w:spacing w:line="300" w:lineRule="auto" w:after="40"/>
      </w:pPr>
      <w:r>
        <w:rPr>
          <w:rFonts w:ascii="Microsoft YaHei" w:hAnsi="Microsoft YaHei" w:eastAsia="Microsoft YaHei"/>
          <w:b w:val="0"/>
          <w:color w:val="222222"/>
          <w:sz w:val="21"/>
        </w:rPr>
        <w:t>decoder_instruction: instruction-conditioned prediction.</w:t>
      </w:r>
    </w:p>
    <w:p>
      <w:pPr>
        <w:pStyle w:val="ListBullet"/>
        <w:spacing w:line="300" w:lineRule="auto" w:after="40"/>
      </w:pPr>
      <w:r>
        <w:rPr>
          <w:rFonts w:ascii="Microsoft YaHei" w:hAnsi="Microsoft YaHei" w:eastAsia="Microsoft YaHei"/>
          <w:b w:val="0"/>
          <w:color w:val="222222"/>
          <w:sz w:val="21"/>
        </w:rPr>
        <w:t>decoder_baseline: no-language baseline prediction.</w:t>
      </w:r>
    </w:p>
    <w:p>
      <w:pPr>
        <w:spacing w:line="324" w:lineRule="auto" w:after="100"/>
        <w:jc w:val="left"/>
      </w:pPr>
      <w:r>
        <w:rPr>
          <w:rFonts w:ascii="Microsoft YaHei" w:hAnsi="Microsoft YaHei" w:eastAsia="Microsoft YaHei"/>
          <w:b w:val="0"/>
          <w:color w:val="222222"/>
          <w:sz w:val="21"/>
        </w:rPr>
        <w:t>This structural split prevents the model from collapsing both modes into the same output mapping.</w:t>
      </w:r>
    </w:p>
    <w:p>
      <w:pPr>
        <w:pStyle w:val="Heading3"/>
        <w:spacing w:before="200" w:after="80"/>
      </w:pPr>
      <w:r>
        <w:rPr>
          <w:rFonts w:ascii="Microsoft YaHei" w:hAnsi="Microsoft YaHei" w:eastAsia="Microsoft YaHei"/>
          <w:b/>
          <w:color w:val="2D3E50"/>
          <w:sz w:val="23"/>
        </w:rPr>
        <w:t>5.6 Loss design</w:t>
      </w:r>
    </w:p>
    <w:p>
      <w:pPr>
        <w:spacing w:line="324" w:lineRule="auto" w:after="100"/>
        <w:jc w:val="left"/>
      </w:pPr>
      <w:r>
        <w:rPr>
          <w:rFonts w:ascii="Microsoft YaHei" w:hAnsi="Microsoft YaHei" w:eastAsia="Microsoft YaHei"/>
          <w:b w:val="0"/>
          <w:color w:val="222222"/>
          <w:sz w:val="21"/>
        </w:rPr>
        <w:t>Total loss combines:</w:t>
      </w:r>
    </w:p>
    <w:p>
      <w:pPr>
        <w:pStyle w:val="ListNumber"/>
        <w:spacing w:line="300" w:lineRule="auto" w:after="40"/>
      </w:pPr>
      <w:r>
        <w:rPr>
          <w:rFonts w:ascii="Microsoft YaHei" w:hAnsi="Microsoft YaHei" w:eastAsia="Microsoft YaHei"/>
          <w:b w:val="0"/>
          <w:color w:val="222222"/>
          <w:sz w:val="21"/>
        </w:rPr>
        <w:t>Instruction head trajectory loss.</w:t>
      </w:r>
    </w:p>
    <w:p>
      <w:pPr>
        <w:pStyle w:val="ListNumber"/>
        <w:spacing w:line="300" w:lineRule="auto" w:after="40"/>
      </w:pPr>
      <w:r>
        <w:rPr>
          <w:rFonts w:ascii="Microsoft YaHei" w:hAnsi="Microsoft YaHei" w:eastAsia="Microsoft YaHei"/>
          <w:b w:val="0"/>
          <w:color w:val="222222"/>
          <w:sz w:val="21"/>
        </w:rPr>
        <w:t>Baseline head trajectory loss.</w:t>
      </w:r>
    </w:p>
    <w:p>
      <w:pPr>
        <w:pStyle w:val="ListNumber"/>
        <w:spacing w:line="300" w:lineRule="auto" w:after="40"/>
      </w:pPr>
      <w:r>
        <w:rPr>
          <w:rFonts w:ascii="Microsoft YaHei" w:hAnsi="Microsoft YaHei" w:eastAsia="Microsoft YaHei"/>
          <w:b w:val="0"/>
          <w:color w:val="222222"/>
          <w:sz w:val="21"/>
        </w:rPr>
        <w:t>Ranking loss (active on non-empty instruction samples), encouraging instruction error to be lower than baseline error by margin.</w:t>
      </w:r>
    </w:p>
    <w:p>
      <w:pPr>
        <w:pStyle w:val="ListNumber"/>
        <w:spacing w:line="300" w:lineRule="auto" w:after="40"/>
      </w:pPr>
      <w:r>
        <w:rPr>
          <w:rFonts w:ascii="Microsoft YaHei" w:hAnsi="Microsoft YaHei" w:eastAsia="Microsoft YaHei"/>
          <w:b w:val="0"/>
          <w:color w:val="222222"/>
          <w:sz w:val="21"/>
        </w:rPr>
        <w:t>Optional endpoint term for FDE balance.</w:t>
      </w:r>
    </w:p>
    <w:p>
      <w:pPr>
        <w:spacing w:line="324" w:lineRule="auto" w:after="100"/>
        <w:jc w:val="left"/>
      </w:pPr>
      <w:r>
        <w:rPr>
          <w:rFonts w:ascii="Microsoft YaHei" w:hAnsi="Microsoft YaHei" w:eastAsia="Microsoft YaHei"/>
          <w:b w:val="0"/>
          <w:color w:val="222222"/>
          <w:sz w:val="21"/>
        </w:rPr>
        <w:t>General form:</w:t>
      </w:r>
    </w:p>
    <w:p>
      <w:pPr>
        <w:spacing w:line="324" w:lineRule="auto" w:after="100"/>
        <w:jc w:val="left"/>
      </w:pPr>
      <w:r>
        <w:rPr>
          <w:rFonts w:ascii="Microsoft YaHei" w:hAnsi="Microsoft YaHei" w:eastAsia="Microsoft YaHei"/>
          <w:b w:val="0"/>
          <w:color w:val="222222"/>
          <w:sz w:val="21"/>
        </w:rPr>
        <w:t>L = L_inst + w_base * L_base + w_rank * L_rank + w_fde * L_fde</w:t>
      </w:r>
    </w:p>
    <w:p>
      <w:pPr>
        <w:pStyle w:val="Heading2"/>
        <w:spacing w:before="200" w:after="80"/>
      </w:pPr>
      <w:r>
        <w:rPr>
          <w:rFonts w:ascii="Microsoft YaHei" w:hAnsi="Microsoft YaHei" w:eastAsia="Microsoft YaHei"/>
          <w:b/>
          <w:color w:val="1A5376"/>
          <w:sz w:val="26"/>
        </w:rPr>
        <w:t>6. Training Strategy and Engineering Details</w:t>
      </w:r>
    </w:p>
    <w:p>
      <w:pPr>
        <w:pStyle w:val="Heading3"/>
        <w:spacing w:before="200" w:after="80"/>
      </w:pPr>
      <w:r>
        <w:rPr>
          <w:rFonts w:ascii="Microsoft YaHei" w:hAnsi="Microsoft YaHei" w:eastAsia="Microsoft YaHei"/>
          <w:b/>
          <w:color w:val="2D3E50"/>
          <w:sz w:val="23"/>
        </w:rPr>
        <w:t>6.1 Non-empty instruction rebalancing</w:t>
      </w:r>
    </w:p>
    <w:p>
      <w:pPr>
        <w:spacing w:line="324" w:lineRule="auto" w:after="100"/>
        <w:jc w:val="left"/>
      </w:pPr>
      <w:r>
        <w:rPr>
          <w:rFonts w:ascii="Microsoft YaHei" w:hAnsi="Microsoft YaHei" w:eastAsia="Microsoft YaHei"/>
          <w:b w:val="0"/>
          <w:color w:val="222222"/>
          <w:sz w:val="21"/>
        </w:rPr>
        <w:t>Because empty instructions are frequent, we apply weighted sampling to increase non-empty instruction exposure. This significantly improves language signal utilization and helps move Delta ADE away from zero.</w:t>
      </w:r>
    </w:p>
    <w:p>
      <w:pPr>
        <w:pStyle w:val="Heading3"/>
        <w:spacing w:before="200" w:after="80"/>
      </w:pPr>
      <w:r>
        <w:rPr>
          <w:rFonts w:ascii="Microsoft YaHei" w:hAnsi="Microsoft YaHei" w:eastAsia="Microsoft YaHei"/>
          <w:b/>
          <w:color w:val="2D3E50"/>
          <w:sz w:val="23"/>
        </w:rPr>
        <w:t>6.2 Partial text unfreezing</w:t>
      </w:r>
    </w:p>
    <w:p>
      <w:pPr>
        <w:spacing w:line="324" w:lineRule="auto" w:after="100"/>
        <w:jc w:val="left"/>
      </w:pPr>
      <w:r>
        <w:rPr>
          <w:rFonts w:ascii="Microsoft YaHei" w:hAnsi="Microsoft YaHei" w:eastAsia="Microsoft YaHei"/>
          <w:b w:val="0"/>
          <w:color w:val="222222"/>
          <w:sz w:val="21"/>
        </w:rPr>
        <w:t>To balance stability and adaptation, we freeze most DistilBERT layers and unfreeze only the last few layers for task-specific adaptation.</w:t>
      </w:r>
    </w:p>
    <w:p>
      <w:pPr>
        <w:pStyle w:val="Heading3"/>
        <w:spacing w:before="200" w:after="80"/>
      </w:pPr>
      <w:r>
        <w:rPr>
          <w:rFonts w:ascii="Microsoft YaHei" w:hAnsi="Microsoft YaHei" w:eastAsia="Microsoft YaHei"/>
          <w:b/>
          <w:color w:val="2D3E50"/>
          <w:sz w:val="23"/>
        </w:rPr>
        <w:t>6.3 Optimization and early stopping</w:t>
      </w:r>
    </w:p>
    <w:p>
      <w:pPr>
        <w:spacing w:line="324" w:lineRule="auto" w:after="100"/>
        <w:jc w:val="left"/>
      </w:pPr>
      <w:r>
        <w:rPr>
          <w:rFonts w:ascii="Microsoft YaHei" w:hAnsi="Microsoft YaHei" w:eastAsia="Microsoft YaHei"/>
          <w:b w:val="0"/>
          <w:color w:val="222222"/>
          <w:sz w:val="21"/>
        </w:rPr>
        <w:t>We use AdamW with gradient clipping and validation-driven checkpointing. We monitor train/val ADE/FDE and overfit gap trends.</w:t>
      </w:r>
    </w:p>
    <w:p>
      <w:pPr>
        <w:pStyle w:val="Heading3"/>
        <w:spacing w:before="200" w:after="80"/>
      </w:pPr>
      <w:r>
        <w:rPr>
          <w:rFonts w:ascii="Microsoft YaHei" w:hAnsi="Microsoft YaHei" w:eastAsia="Microsoft YaHei"/>
          <w:b/>
          <w:color w:val="2D3E50"/>
          <w:sz w:val="23"/>
        </w:rPr>
        <w:t>6.4 Efficiency and GPU control</w:t>
      </w:r>
    </w:p>
    <w:p>
      <w:pPr>
        <w:spacing w:line="324" w:lineRule="auto" w:after="100"/>
        <w:jc w:val="left"/>
      </w:pPr>
      <w:r>
        <w:rPr>
          <w:rFonts w:ascii="Microsoft YaHei" w:hAnsi="Microsoft YaHei" w:eastAsia="Microsoft YaHei"/>
          <w:b w:val="0"/>
          <w:color w:val="222222"/>
          <w:sz w:val="21"/>
        </w:rPr>
        <w:t>The training pipeline supports AMP mixed precision and GPU utilization throttling to keep resource usage controlled in desktop/shared environments.</w:t>
      </w:r>
    </w:p>
    <w:p>
      <w:pPr>
        <w:pStyle w:val="Heading2"/>
        <w:spacing w:before="200" w:after="80"/>
      </w:pPr>
      <w:r>
        <w:rPr>
          <w:rFonts w:ascii="Microsoft YaHei" w:hAnsi="Microsoft YaHei" w:eastAsia="Microsoft YaHei"/>
          <w:b/>
          <w:color w:val="1A5376"/>
          <w:sz w:val="26"/>
        </w:rPr>
        <w:t>7. Results (Meter-based)</w:t>
      </w:r>
    </w:p>
    <w:p>
      <w:pPr>
        <w:pStyle w:val="Heading3"/>
        <w:spacing w:before="200" w:after="80"/>
      </w:pPr>
      <w:r>
        <w:rPr>
          <w:rFonts w:ascii="Microsoft YaHei" w:hAnsi="Microsoft YaHei" w:eastAsia="Microsoft YaHei"/>
          <w:b/>
          <w:color w:val="2D3E50"/>
          <w:sz w:val="23"/>
        </w:rPr>
        <w:t>7.1 Single-run result</w:t>
      </w:r>
    </w:p>
    <w:tbl>
      <w:tblPr>
        <w:tblStyle w:val="TableGrid"/>
        <w:tblW w:type="auto" w:w="0"/>
        <w:tblLayout w:type="autofit"/>
        <w:tblLook w:firstColumn="1" w:firstRow="1" w:lastColumn="0" w:lastRow="0" w:noHBand="0" w:noVBand="1" w:val="04A0"/>
      </w:tblPr>
      <w:tblGrid>
        <w:gridCol w:w="2408"/>
        <w:gridCol w:w="2408"/>
        <w:gridCol w:w="2408"/>
        <w:gridCol w:w="2408"/>
      </w:tblGrid>
      <w:tr>
        <w:tc>
          <w:tcPr>
            <w:tcW w:type="dxa" w:w="2408"/>
            <w:shd w:fill="DCE6F1"/>
          </w:tcPr>
          <w:p>
            <w:pPr>
              <w:jc w:val="center"/>
            </w:pPr>
            <w:r>
              <w:rPr>
                <w:rFonts w:ascii="Microsoft YaHei" w:hAnsi="Microsoft YaHei" w:eastAsia="Microsoft YaHei"/>
                <w:b/>
                <w:color w:val="0F3359"/>
                <w:sz w:val="20"/>
              </w:rPr>
              <w:t>Metric</w:t>
            </w:r>
          </w:p>
        </w:tc>
        <w:tc>
          <w:tcPr>
            <w:tcW w:type="dxa" w:w="2408"/>
            <w:shd w:fill="DCE6F1"/>
          </w:tcPr>
          <w:p>
            <w:pPr>
              <w:jc w:val="center"/>
            </w:pPr>
            <w:r>
              <w:rPr>
                <w:rFonts w:ascii="Microsoft YaHei" w:hAnsi="Microsoft YaHei" w:eastAsia="Microsoft YaHei"/>
                <w:b/>
                <w:color w:val="0F3359"/>
                <w:sz w:val="20"/>
              </w:rPr>
              <w:t>Instruction</w:t>
            </w:r>
          </w:p>
        </w:tc>
        <w:tc>
          <w:tcPr>
            <w:tcW w:type="dxa" w:w="2408"/>
            <w:shd w:fill="DCE6F1"/>
          </w:tcPr>
          <w:p>
            <w:pPr>
              <w:jc w:val="center"/>
            </w:pPr>
            <w:r>
              <w:rPr>
                <w:rFonts w:ascii="Microsoft YaHei" w:hAnsi="Microsoft YaHei" w:eastAsia="Microsoft YaHei"/>
                <w:b/>
                <w:color w:val="0F3359"/>
                <w:sz w:val="20"/>
              </w:rPr>
              <w:t>Baseline</w:t>
            </w:r>
          </w:p>
        </w:tc>
        <w:tc>
          <w:tcPr>
            <w:tcW w:type="dxa" w:w="2408"/>
            <w:shd w:fill="DCE6F1"/>
          </w:tcPr>
          <w:p>
            <w:pPr>
              <w:jc w:val="center"/>
            </w:pPr>
            <w:r>
              <w:rPr>
                <w:rFonts w:ascii="Microsoft YaHei" w:hAnsi="Microsoft YaHei" w:eastAsia="Microsoft YaHei"/>
                <w:b/>
                <w:color w:val="0F3359"/>
                <w:sz w:val="20"/>
              </w:rPr>
              <w:t>Delta</w:t>
            </w:r>
          </w:p>
        </w:tc>
      </w:tr>
      <w:tr>
        <w:tc>
          <w:tcPr>
            <w:tcW w:type="dxa" w:w="2408"/>
          </w:tcPr>
          <w:p>
            <w:pPr>
              <w:jc w:val="left"/>
            </w:pPr>
            <w:r>
              <w:rPr>
                <w:rFonts w:ascii="Microsoft YaHei" w:hAnsi="Microsoft YaHei" w:eastAsia="Microsoft YaHei"/>
                <w:b w:val="0"/>
                <w:color w:val="222222"/>
                <w:sz w:val="20"/>
              </w:rPr>
              <w:t>ADE</w:t>
            </w:r>
          </w:p>
        </w:tc>
        <w:tc>
          <w:tcPr>
            <w:tcW w:type="dxa" w:w="2408"/>
          </w:tcPr>
          <w:p>
            <w:pPr>
              <w:jc w:val="center"/>
            </w:pPr>
            <w:r>
              <w:rPr>
                <w:rFonts w:ascii="Microsoft YaHei" w:hAnsi="Microsoft YaHei" w:eastAsia="Microsoft YaHei"/>
                <w:b w:val="0"/>
                <w:color w:val="222222"/>
                <w:sz w:val="20"/>
              </w:rPr>
              <w:t>3.435528</w:t>
            </w:r>
          </w:p>
        </w:tc>
        <w:tc>
          <w:tcPr>
            <w:tcW w:type="dxa" w:w="2408"/>
          </w:tcPr>
          <w:p>
            <w:pPr>
              <w:jc w:val="center"/>
            </w:pPr>
            <w:r>
              <w:rPr>
                <w:rFonts w:ascii="Microsoft YaHei" w:hAnsi="Microsoft YaHei" w:eastAsia="Microsoft YaHei"/>
                <w:b w:val="0"/>
                <w:color w:val="222222"/>
                <w:sz w:val="20"/>
              </w:rPr>
              <w:t>3.998661</w:t>
            </w:r>
          </w:p>
        </w:tc>
        <w:tc>
          <w:tcPr>
            <w:tcW w:type="dxa" w:w="2408"/>
          </w:tcPr>
          <w:p>
            <w:pPr>
              <w:jc w:val="center"/>
            </w:pPr>
            <w:r>
              <w:rPr>
                <w:rFonts w:ascii="Microsoft YaHei" w:hAnsi="Microsoft YaHei" w:eastAsia="Microsoft YaHei"/>
                <w:b w:val="0"/>
                <w:color w:val="222222"/>
                <w:sz w:val="20"/>
              </w:rPr>
              <w:t>+0.563133</w:t>
            </w:r>
          </w:p>
        </w:tc>
      </w:tr>
      <w:tr>
        <w:tc>
          <w:tcPr>
            <w:tcW w:type="dxa" w:w="2408"/>
          </w:tcPr>
          <w:p>
            <w:pPr>
              <w:jc w:val="left"/>
            </w:pPr>
            <w:r>
              <w:rPr>
                <w:rFonts w:ascii="Microsoft YaHei" w:hAnsi="Microsoft YaHei" w:eastAsia="Microsoft YaHei"/>
                <w:b w:val="0"/>
                <w:color w:val="222222"/>
                <w:sz w:val="20"/>
              </w:rPr>
              <w:t>FDE</w:t>
            </w:r>
          </w:p>
        </w:tc>
        <w:tc>
          <w:tcPr>
            <w:tcW w:type="dxa" w:w="2408"/>
          </w:tcPr>
          <w:p>
            <w:pPr>
              <w:jc w:val="center"/>
            </w:pPr>
            <w:r>
              <w:rPr>
                <w:rFonts w:ascii="Microsoft YaHei" w:hAnsi="Microsoft YaHei" w:eastAsia="Microsoft YaHei"/>
                <w:b w:val="0"/>
                <w:color w:val="222222"/>
                <w:sz w:val="20"/>
              </w:rPr>
              <w:t>8.289304</w:t>
            </w:r>
          </w:p>
        </w:tc>
        <w:tc>
          <w:tcPr>
            <w:tcW w:type="dxa" w:w="2408"/>
          </w:tcPr>
          <w:p>
            <w:pPr>
              <w:jc w:val="center"/>
            </w:pPr>
            <w:r>
              <w:rPr>
                <w:rFonts w:ascii="Microsoft YaHei" w:hAnsi="Microsoft YaHei" w:eastAsia="Microsoft YaHei"/>
                <w:b w:val="0"/>
                <w:color w:val="222222"/>
                <w:sz w:val="20"/>
              </w:rPr>
              <w:t>8.648759</w:t>
            </w:r>
          </w:p>
        </w:tc>
        <w:tc>
          <w:tcPr>
            <w:tcW w:type="dxa" w:w="2408"/>
          </w:tcPr>
          <w:p>
            <w:pPr>
              <w:jc w:val="center"/>
            </w:pPr>
            <w:r>
              <w:rPr>
                <w:rFonts w:ascii="Microsoft YaHei" w:hAnsi="Microsoft YaHei" w:eastAsia="Microsoft YaHei"/>
                <w:b w:val="0"/>
                <w:color w:val="222222"/>
                <w:sz w:val="20"/>
              </w:rPr>
              <w:t>+0.359455</w:t>
            </w:r>
          </w:p>
        </w:tc>
      </w:tr>
    </w:tbl>
    <w:p/>
    <w:p>
      <w:pPr>
        <w:pStyle w:val="Heading3"/>
        <w:spacing w:before="200" w:after="80"/>
      </w:pPr>
      <w:r>
        <w:rPr>
          <w:rFonts w:ascii="Microsoft YaHei" w:hAnsi="Microsoft YaHei" w:eastAsia="Microsoft YaHei"/>
          <w:b/>
          <w:color w:val="2D3E50"/>
          <w:sz w:val="23"/>
        </w:rPr>
        <w:t>7.2 Subset analysis</w:t>
      </w:r>
    </w:p>
    <w:tbl>
      <w:tblPr>
        <w:tblStyle w:val="TableGrid"/>
        <w:tblW w:type="auto" w:w="0"/>
        <w:tblLayout w:type="autofit"/>
        <w:tblLook w:firstColumn="1" w:firstRow="1" w:lastColumn="0" w:lastRow="0" w:noHBand="0" w:noVBand="1" w:val="04A0"/>
      </w:tblPr>
      <w:tblGrid>
        <w:gridCol w:w="1204"/>
        <w:gridCol w:w="1204"/>
        <w:gridCol w:w="1204"/>
        <w:gridCol w:w="1204"/>
        <w:gridCol w:w="1204"/>
        <w:gridCol w:w="1204"/>
        <w:gridCol w:w="1204"/>
        <w:gridCol w:w="1204"/>
      </w:tblGrid>
      <w:tr>
        <w:tc>
          <w:tcPr>
            <w:tcW w:type="dxa" w:w="1204"/>
            <w:shd w:fill="DCE6F1"/>
          </w:tcPr>
          <w:p>
            <w:pPr>
              <w:jc w:val="center"/>
            </w:pPr>
            <w:r>
              <w:rPr>
                <w:rFonts w:ascii="Microsoft YaHei" w:hAnsi="Microsoft YaHei" w:eastAsia="Microsoft YaHei"/>
                <w:b/>
                <w:color w:val="0F3359"/>
                <w:sz w:val="20"/>
              </w:rPr>
              <w:t>Subset</w:t>
            </w:r>
          </w:p>
        </w:tc>
        <w:tc>
          <w:tcPr>
            <w:tcW w:type="dxa" w:w="1204"/>
            <w:shd w:fill="DCE6F1"/>
          </w:tcPr>
          <w:p>
            <w:pPr>
              <w:jc w:val="center"/>
            </w:pPr>
            <w:r>
              <w:rPr>
                <w:rFonts w:ascii="Microsoft YaHei" w:hAnsi="Microsoft YaHei" w:eastAsia="Microsoft YaHei"/>
                <w:b/>
                <w:color w:val="0F3359"/>
                <w:sz w:val="20"/>
              </w:rPr>
              <w:t>Count</w:t>
            </w:r>
          </w:p>
        </w:tc>
        <w:tc>
          <w:tcPr>
            <w:tcW w:type="dxa" w:w="1204"/>
            <w:shd w:fill="DCE6F1"/>
          </w:tcPr>
          <w:p>
            <w:pPr>
              <w:jc w:val="center"/>
            </w:pPr>
            <w:r>
              <w:rPr>
                <w:rFonts w:ascii="Microsoft YaHei" w:hAnsi="Microsoft YaHei" w:eastAsia="Microsoft YaHei"/>
                <w:b/>
                <w:color w:val="0F3359"/>
                <w:sz w:val="20"/>
              </w:rPr>
              <w:t>ADE Instruction</w:t>
            </w:r>
          </w:p>
        </w:tc>
        <w:tc>
          <w:tcPr>
            <w:tcW w:type="dxa" w:w="1204"/>
            <w:shd w:fill="DCE6F1"/>
          </w:tcPr>
          <w:p>
            <w:pPr>
              <w:jc w:val="center"/>
            </w:pPr>
            <w:r>
              <w:rPr>
                <w:rFonts w:ascii="Microsoft YaHei" w:hAnsi="Microsoft YaHei" w:eastAsia="Microsoft YaHei"/>
                <w:b/>
                <w:color w:val="0F3359"/>
                <w:sz w:val="20"/>
              </w:rPr>
              <w:t>ADE Baseline</w:t>
            </w:r>
          </w:p>
        </w:tc>
        <w:tc>
          <w:tcPr>
            <w:tcW w:type="dxa" w:w="1204"/>
            <w:shd w:fill="DCE6F1"/>
          </w:tcPr>
          <w:p>
            <w:pPr>
              <w:jc w:val="center"/>
            </w:pPr>
            <w:r>
              <w:rPr>
                <w:rFonts w:ascii="Microsoft YaHei" w:hAnsi="Microsoft YaHei" w:eastAsia="Microsoft YaHei"/>
                <w:b/>
                <w:color w:val="0F3359"/>
                <w:sz w:val="20"/>
              </w:rPr>
              <w:t>Delta ADE</w:t>
            </w:r>
          </w:p>
        </w:tc>
        <w:tc>
          <w:tcPr>
            <w:tcW w:type="dxa" w:w="1204"/>
            <w:shd w:fill="DCE6F1"/>
          </w:tcPr>
          <w:p>
            <w:pPr>
              <w:jc w:val="center"/>
            </w:pPr>
            <w:r>
              <w:rPr>
                <w:rFonts w:ascii="Microsoft YaHei" w:hAnsi="Microsoft YaHei" w:eastAsia="Microsoft YaHei"/>
                <w:b/>
                <w:color w:val="0F3359"/>
                <w:sz w:val="20"/>
              </w:rPr>
              <w:t>FDE Instruction</w:t>
            </w:r>
          </w:p>
        </w:tc>
        <w:tc>
          <w:tcPr>
            <w:tcW w:type="dxa" w:w="1204"/>
            <w:shd w:fill="DCE6F1"/>
          </w:tcPr>
          <w:p>
            <w:pPr>
              <w:jc w:val="center"/>
            </w:pPr>
            <w:r>
              <w:rPr>
                <w:rFonts w:ascii="Microsoft YaHei" w:hAnsi="Microsoft YaHei" w:eastAsia="Microsoft YaHei"/>
                <w:b/>
                <w:color w:val="0F3359"/>
                <w:sz w:val="20"/>
              </w:rPr>
              <w:t>FDE Baseline</w:t>
            </w:r>
          </w:p>
        </w:tc>
        <w:tc>
          <w:tcPr>
            <w:tcW w:type="dxa" w:w="1204"/>
            <w:shd w:fill="DCE6F1"/>
          </w:tcPr>
          <w:p>
            <w:pPr>
              <w:jc w:val="center"/>
            </w:pPr>
            <w:r>
              <w:rPr>
                <w:rFonts w:ascii="Microsoft YaHei" w:hAnsi="Microsoft YaHei" w:eastAsia="Microsoft YaHei"/>
                <w:b/>
                <w:color w:val="0F3359"/>
                <w:sz w:val="20"/>
              </w:rPr>
              <w:t>Delta FDE</w:t>
            </w:r>
          </w:p>
        </w:tc>
      </w:tr>
      <w:tr>
        <w:tc>
          <w:tcPr>
            <w:tcW w:type="dxa" w:w="1204"/>
          </w:tcPr>
          <w:p>
            <w:pPr>
              <w:jc w:val="left"/>
            </w:pPr>
            <w:r>
              <w:rPr>
                <w:rFonts w:ascii="Microsoft YaHei" w:hAnsi="Microsoft YaHei" w:eastAsia="Microsoft YaHei"/>
                <w:b w:val="0"/>
                <w:color w:val="222222"/>
                <w:sz w:val="20"/>
              </w:rPr>
              <w:t>overall</w:t>
            </w:r>
          </w:p>
        </w:tc>
        <w:tc>
          <w:tcPr>
            <w:tcW w:type="dxa" w:w="1204"/>
          </w:tcPr>
          <w:p>
            <w:pPr>
              <w:jc w:val="center"/>
            </w:pPr>
            <w:r>
              <w:rPr>
                <w:rFonts w:ascii="Microsoft YaHei" w:hAnsi="Microsoft YaHei" w:eastAsia="Microsoft YaHei"/>
                <w:b w:val="0"/>
                <w:color w:val="222222"/>
                <w:sz w:val="20"/>
              </w:rPr>
              <w:t>5152</w:t>
            </w:r>
          </w:p>
        </w:tc>
        <w:tc>
          <w:tcPr>
            <w:tcW w:type="dxa" w:w="1204"/>
          </w:tcPr>
          <w:p>
            <w:pPr>
              <w:jc w:val="center"/>
            </w:pPr>
            <w:r>
              <w:rPr>
                <w:rFonts w:ascii="Microsoft YaHei" w:hAnsi="Microsoft YaHei" w:eastAsia="Microsoft YaHei"/>
                <w:b w:val="0"/>
                <w:color w:val="222222"/>
                <w:sz w:val="20"/>
              </w:rPr>
              <w:t>3.435528</w:t>
            </w:r>
          </w:p>
        </w:tc>
        <w:tc>
          <w:tcPr>
            <w:tcW w:type="dxa" w:w="1204"/>
          </w:tcPr>
          <w:p>
            <w:pPr>
              <w:jc w:val="center"/>
            </w:pPr>
            <w:r>
              <w:rPr>
                <w:rFonts w:ascii="Microsoft YaHei" w:hAnsi="Microsoft YaHei" w:eastAsia="Microsoft YaHei"/>
                <w:b w:val="0"/>
                <w:color w:val="222222"/>
                <w:sz w:val="20"/>
              </w:rPr>
              <w:t>3.998661</w:t>
            </w:r>
          </w:p>
        </w:tc>
        <w:tc>
          <w:tcPr>
            <w:tcW w:type="dxa" w:w="1204"/>
          </w:tcPr>
          <w:p>
            <w:pPr>
              <w:jc w:val="center"/>
            </w:pPr>
            <w:r>
              <w:rPr>
                <w:rFonts w:ascii="Microsoft YaHei" w:hAnsi="Microsoft YaHei" w:eastAsia="Microsoft YaHei"/>
                <w:b w:val="0"/>
                <w:color w:val="222222"/>
                <w:sz w:val="20"/>
              </w:rPr>
              <w:t>+0.563133</w:t>
            </w:r>
          </w:p>
        </w:tc>
        <w:tc>
          <w:tcPr>
            <w:tcW w:type="dxa" w:w="1204"/>
          </w:tcPr>
          <w:p>
            <w:pPr>
              <w:jc w:val="center"/>
            </w:pPr>
            <w:r>
              <w:rPr>
                <w:rFonts w:ascii="Microsoft YaHei" w:hAnsi="Microsoft YaHei" w:eastAsia="Microsoft YaHei"/>
                <w:b w:val="0"/>
                <w:color w:val="222222"/>
                <w:sz w:val="20"/>
              </w:rPr>
              <w:t>8.289304</w:t>
            </w:r>
          </w:p>
        </w:tc>
        <w:tc>
          <w:tcPr>
            <w:tcW w:type="dxa" w:w="1204"/>
          </w:tcPr>
          <w:p>
            <w:pPr>
              <w:jc w:val="center"/>
            </w:pPr>
            <w:r>
              <w:rPr>
                <w:rFonts w:ascii="Microsoft YaHei" w:hAnsi="Microsoft YaHei" w:eastAsia="Microsoft YaHei"/>
                <w:b w:val="0"/>
                <w:color w:val="222222"/>
                <w:sz w:val="20"/>
              </w:rPr>
              <w:t>8.648759</w:t>
            </w:r>
          </w:p>
        </w:tc>
        <w:tc>
          <w:tcPr>
            <w:tcW w:type="dxa" w:w="1204"/>
          </w:tcPr>
          <w:p>
            <w:pPr>
              <w:jc w:val="center"/>
            </w:pPr>
            <w:r>
              <w:rPr>
                <w:rFonts w:ascii="Microsoft YaHei" w:hAnsi="Microsoft YaHei" w:eastAsia="Microsoft YaHei"/>
                <w:b w:val="0"/>
                <w:color w:val="222222"/>
                <w:sz w:val="20"/>
              </w:rPr>
              <w:t>+0.359455</w:t>
            </w:r>
          </w:p>
        </w:tc>
      </w:tr>
      <w:tr>
        <w:tc>
          <w:tcPr>
            <w:tcW w:type="dxa" w:w="1204"/>
          </w:tcPr>
          <w:p>
            <w:pPr>
              <w:jc w:val="left"/>
            </w:pPr>
            <w:r>
              <w:rPr>
                <w:rFonts w:ascii="Microsoft YaHei" w:hAnsi="Microsoft YaHei" w:eastAsia="Microsoft YaHei"/>
                <w:b w:val="0"/>
                <w:color w:val="222222"/>
                <w:sz w:val="20"/>
              </w:rPr>
              <w:t>has_instruction</w:t>
            </w:r>
          </w:p>
        </w:tc>
        <w:tc>
          <w:tcPr>
            <w:tcW w:type="dxa" w:w="1204"/>
          </w:tcPr>
          <w:p>
            <w:pPr>
              <w:jc w:val="center"/>
            </w:pPr>
            <w:r>
              <w:rPr>
                <w:rFonts w:ascii="Microsoft YaHei" w:hAnsi="Microsoft YaHei" w:eastAsia="Microsoft YaHei"/>
                <w:b w:val="0"/>
                <w:color w:val="222222"/>
                <w:sz w:val="20"/>
              </w:rPr>
              <w:t>5152</w:t>
            </w:r>
          </w:p>
        </w:tc>
        <w:tc>
          <w:tcPr>
            <w:tcW w:type="dxa" w:w="1204"/>
          </w:tcPr>
          <w:p>
            <w:pPr>
              <w:jc w:val="center"/>
            </w:pPr>
            <w:r>
              <w:rPr>
                <w:rFonts w:ascii="Microsoft YaHei" w:hAnsi="Microsoft YaHei" w:eastAsia="Microsoft YaHei"/>
                <w:b w:val="0"/>
                <w:color w:val="222222"/>
                <w:sz w:val="20"/>
              </w:rPr>
              <w:t>3.435528</w:t>
            </w:r>
          </w:p>
        </w:tc>
        <w:tc>
          <w:tcPr>
            <w:tcW w:type="dxa" w:w="1204"/>
          </w:tcPr>
          <w:p>
            <w:pPr>
              <w:jc w:val="center"/>
            </w:pPr>
            <w:r>
              <w:rPr>
                <w:rFonts w:ascii="Microsoft YaHei" w:hAnsi="Microsoft YaHei" w:eastAsia="Microsoft YaHei"/>
                <w:b w:val="0"/>
                <w:color w:val="222222"/>
                <w:sz w:val="20"/>
              </w:rPr>
              <w:t>3.998661</w:t>
            </w:r>
          </w:p>
        </w:tc>
        <w:tc>
          <w:tcPr>
            <w:tcW w:type="dxa" w:w="1204"/>
          </w:tcPr>
          <w:p>
            <w:pPr>
              <w:jc w:val="center"/>
            </w:pPr>
            <w:r>
              <w:rPr>
                <w:rFonts w:ascii="Microsoft YaHei" w:hAnsi="Microsoft YaHei" w:eastAsia="Microsoft YaHei"/>
                <w:b w:val="0"/>
                <w:color w:val="222222"/>
                <w:sz w:val="20"/>
              </w:rPr>
              <w:t>+0.563133</w:t>
            </w:r>
          </w:p>
        </w:tc>
        <w:tc>
          <w:tcPr>
            <w:tcW w:type="dxa" w:w="1204"/>
          </w:tcPr>
          <w:p>
            <w:pPr>
              <w:jc w:val="center"/>
            </w:pPr>
            <w:r>
              <w:rPr>
                <w:rFonts w:ascii="Microsoft YaHei" w:hAnsi="Microsoft YaHei" w:eastAsia="Microsoft YaHei"/>
                <w:b w:val="0"/>
                <w:color w:val="222222"/>
                <w:sz w:val="20"/>
              </w:rPr>
              <w:t>8.289304</w:t>
            </w:r>
          </w:p>
        </w:tc>
        <w:tc>
          <w:tcPr>
            <w:tcW w:type="dxa" w:w="1204"/>
          </w:tcPr>
          <w:p>
            <w:pPr>
              <w:jc w:val="center"/>
            </w:pPr>
            <w:r>
              <w:rPr>
                <w:rFonts w:ascii="Microsoft YaHei" w:hAnsi="Microsoft YaHei" w:eastAsia="Microsoft YaHei"/>
                <w:b w:val="0"/>
                <w:color w:val="222222"/>
                <w:sz w:val="20"/>
              </w:rPr>
              <w:t>8.648759</w:t>
            </w:r>
          </w:p>
        </w:tc>
        <w:tc>
          <w:tcPr>
            <w:tcW w:type="dxa" w:w="1204"/>
          </w:tcPr>
          <w:p>
            <w:pPr>
              <w:jc w:val="center"/>
            </w:pPr>
            <w:r>
              <w:rPr>
                <w:rFonts w:ascii="Microsoft YaHei" w:hAnsi="Microsoft YaHei" w:eastAsia="Microsoft YaHei"/>
                <w:b w:val="0"/>
                <w:color w:val="222222"/>
                <w:sz w:val="20"/>
              </w:rPr>
              <w:t>+0.359455</w:t>
            </w:r>
          </w:p>
        </w:tc>
      </w:tr>
    </w:tbl>
    <w:p/>
    <w:p>
      <w:pPr>
        <w:spacing w:line="324" w:lineRule="auto" w:after="100"/>
        <w:jc w:val="left"/>
      </w:pPr>
      <w:r>
        <w:rPr>
          <w:rFonts w:ascii="Microsoft YaHei" w:hAnsi="Microsoft YaHei" w:eastAsia="Microsoft YaHei"/>
          <w:b w:val="0"/>
          <w:color w:val="222222"/>
          <w:sz w:val="21"/>
        </w:rPr>
        <w:t>The final language report is generated under the official instruction-conditioned evaluation protocol, so no separate empty_instruction subset appears in the packaged submission report.</w:t>
      </w:r>
    </w:p>
    <w:p>
      <w:pPr>
        <w:pStyle w:val="Heading3"/>
        <w:spacing w:before="200" w:after="80"/>
      </w:pPr>
      <w:r>
        <w:rPr>
          <w:rFonts w:ascii="Microsoft YaHei" w:hAnsi="Microsoft YaHei" w:eastAsia="Microsoft YaHei"/>
          <w:b/>
          <w:color w:val="2D3E50"/>
          <w:sz w:val="23"/>
        </w:rPr>
        <w:t>7.3 Submission-scope note</w:t>
      </w:r>
    </w:p>
    <w:p>
      <w:pPr>
        <w:spacing w:line="324" w:lineRule="auto" w:after="100"/>
        <w:jc w:val="left"/>
      </w:pPr>
      <w:r>
        <w:rPr>
          <w:rFonts w:ascii="Microsoft YaHei" w:hAnsi="Microsoft YaHei" w:eastAsia="Microsoft YaHei"/>
          <w:b w:val="0"/>
          <w:color w:val="222222"/>
          <w:sz w:val="21"/>
        </w:rPr>
        <w:t>This final package is centered on the configs/ade_query_residual.json checkpoint and reports the exact metrics required by the challenge submission form. Older multi-seed benchmark tables are intentionally excluded from the main results here so that the final paper does not mix statistics from different architectures or different evaluation scopes.</w:t>
      </w:r>
    </w:p>
    <w:p>
      <w:pPr>
        <w:pStyle w:val="Heading2"/>
        <w:spacing w:before="200" w:after="80"/>
      </w:pPr>
      <w:r>
        <w:rPr>
          <w:rFonts w:ascii="Microsoft YaHei" w:hAnsi="Microsoft YaHei" w:eastAsia="Microsoft YaHei"/>
          <w:b/>
          <w:color w:val="1A5376"/>
          <w:sz w:val="26"/>
        </w:rPr>
        <w:t>8. Analysis and Discussion</w:t>
      </w:r>
    </w:p>
    <w:p>
      <w:pPr>
        <w:pStyle w:val="Heading3"/>
        <w:spacing w:before="200" w:after="80"/>
      </w:pPr>
      <w:r>
        <w:rPr>
          <w:rFonts w:ascii="Microsoft YaHei" w:hAnsi="Microsoft YaHei" w:eastAsia="Microsoft YaHei"/>
          <w:b/>
          <w:color w:val="2D3E50"/>
          <w:sz w:val="23"/>
        </w:rPr>
        <w:t>8.1 Why early Delta ADE was zero</w:t>
      </w:r>
    </w:p>
    <w:p>
      <w:pPr>
        <w:spacing w:line="324" w:lineRule="auto" w:after="100"/>
        <w:jc w:val="left"/>
      </w:pPr>
      <w:r>
        <w:rPr>
          <w:rFonts w:ascii="Microsoft YaHei" w:hAnsi="Microsoft YaHei" w:eastAsia="Microsoft YaHei"/>
          <w:b w:val="0"/>
          <w:color w:val="222222"/>
          <w:sz w:val="21"/>
        </w:rPr>
        <w:t>In earlier setups, shared-output behavior plus pure regression optimization allowed the model to minimize loss while ignoring instruction semantics.</w:t>
      </w:r>
    </w:p>
    <w:p>
      <w:pPr>
        <w:pStyle w:val="Heading3"/>
        <w:spacing w:before="200" w:after="80"/>
      </w:pPr>
      <w:r>
        <w:rPr>
          <w:rFonts w:ascii="Microsoft YaHei" w:hAnsi="Microsoft YaHei" w:eastAsia="Microsoft YaHei"/>
          <w:b/>
          <w:color w:val="2D3E50"/>
          <w:sz w:val="23"/>
        </w:rPr>
        <w:t>8.2 Why Dual-Head helps</w:t>
      </w:r>
    </w:p>
    <w:p>
      <w:pPr>
        <w:spacing w:line="324" w:lineRule="auto" w:after="100"/>
        <w:jc w:val="left"/>
      </w:pPr>
      <w:r>
        <w:rPr>
          <w:rFonts w:ascii="Microsoft YaHei" w:hAnsi="Microsoft YaHei" w:eastAsia="Microsoft YaHei"/>
          <w:b w:val="0"/>
          <w:color w:val="222222"/>
          <w:sz w:val="21"/>
        </w:rPr>
        <w:t>Dual-Head enforces parameter-level separation and allows explicit relative optimization through ranking loss. This directly penalizes language-collapse behavior.</w:t>
      </w:r>
    </w:p>
    <w:p>
      <w:pPr>
        <w:pStyle w:val="Heading3"/>
        <w:spacing w:before="200" w:after="80"/>
      </w:pPr>
      <w:r>
        <w:rPr>
          <w:rFonts w:ascii="Microsoft YaHei" w:hAnsi="Microsoft YaHei" w:eastAsia="Microsoft YaHei"/>
          <w:b/>
          <w:color w:val="2D3E50"/>
          <w:sz w:val="23"/>
        </w:rPr>
        <w:t>8.3 Remaining caveat</w:t>
      </w:r>
    </w:p>
    <w:p>
      <w:pPr>
        <w:spacing w:line="324" w:lineRule="auto" w:after="100"/>
        <w:jc w:val="left"/>
      </w:pPr>
      <w:r>
        <w:rPr>
          <w:rFonts w:ascii="Microsoft YaHei" w:hAnsi="Microsoft YaHei" w:eastAsia="Microsoft YaHei"/>
          <w:b w:val="0"/>
          <w:color w:val="222222"/>
          <w:sz w:val="21"/>
        </w:rPr>
        <w:t>Positive gains on empty-instruction subsets indicate some benefit may come from head-function bias, not only semantic grounding. This motivates stricter ablations.</w:t>
      </w:r>
    </w:p>
    <w:p>
      <w:pPr>
        <w:pStyle w:val="Heading3"/>
        <w:spacing w:before="200" w:after="80"/>
      </w:pPr>
      <w:r>
        <w:rPr>
          <w:rFonts w:ascii="Microsoft YaHei" w:hAnsi="Microsoft YaHei" w:eastAsia="Microsoft YaHei"/>
          <w:b/>
          <w:color w:val="2D3E50"/>
          <w:sz w:val="23"/>
        </w:rPr>
        <w:t>8.4 ADE/FDE balance</w:t>
      </w:r>
    </w:p>
    <w:p>
      <w:pPr>
        <w:spacing w:line="324" w:lineRule="auto" w:after="100"/>
        <w:jc w:val="left"/>
      </w:pPr>
      <w:r>
        <w:rPr>
          <w:rFonts w:ascii="Microsoft YaHei" w:hAnsi="Microsoft YaHei" w:eastAsia="Microsoft YaHei"/>
          <w:b w:val="0"/>
          <w:color w:val="222222"/>
          <w:sz w:val="21"/>
        </w:rPr>
        <w:t>The current model improves both average trajectory quality and endpoint quality under the official report scope: FDE_instruction = 8.289304 is better than the baseline 8.648759. This is encouraging because the improvement is not achieved by sacrificing endpoint accuracy.</w:t>
      </w:r>
    </w:p>
    <w:p>
      <w:pPr>
        <w:spacing w:line="324" w:lineRule="auto" w:after="100"/>
        <w:jc w:val="left"/>
      </w:pPr>
      <w:r>
        <w:rPr>
          <w:rFonts w:ascii="Microsoft YaHei" w:hAnsi="Microsoft YaHei" w:eastAsia="Microsoft YaHei"/>
          <w:b w:val="0"/>
          <w:color w:val="222222"/>
          <w:sz w:val="21"/>
        </w:rPr>
        <w:t>At the same time, an 8 m+ endpoint error still leaves meaningful room for improvement. Future tuning should therefore continue to strengthen endpoint modeling while preserving the current ADE advantage.</w:t>
      </w:r>
    </w:p>
    <w:p>
      <w:pPr>
        <w:pStyle w:val="Heading2"/>
        <w:spacing w:before="200" w:after="80"/>
      </w:pPr>
      <w:r>
        <w:rPr>
          <w:rFonts w:ascii="Microsoft YaHei" w:hAnsi="Microsoft YaHei" w:eastAsia="Microsoft YaHei"/>
          <w:b/>
          <w:color w:val="1A5376"/>
          <w:sz w:val="26"/>
        </w:rPr>
        <w:t>9. Corrected Official Submission Protocol</w:t>
      </w:r>
    </w:p>
    <w:p>
      <w:pPr>
        <w:spacing w:line="324" w:lineRule="auto" w:after="100"/>
        <w:jc w:val="left"/>
      </w:pPr>
      <w:r>
        <w:rPr>
          <w:rFonts w:ascii="Microsoft YaHei" w:hAnsi="Microsoft YaHei" w:eastAsia="Microsoft YaHei"/>
          <w:b w:val="0"/>
          <w:color w:val="222222"/>
          <w:sz w:val="21"/>
        </w:rPr>
        <w:t>Following organizer feedback, we generated corrected files with strict protocol alignment:</w:t>
      </w:r>
    </w:p>
    <w:p>
      <w:pPr>
        <w:pStyle w:val="ListBullet"/>
        <w:spacing w:line="300" w:lineRule="auto" w:after="40"/>
      </w:pPr>
      <w:r>
        <w:rPr>
          <w:rFonts w:ascii="Microsoft YaHei" w:hAnsi="Microsoft YaHei" w:eastAsia="Microsoft YaHei"/>
          <w:b w:val="0"/>
          <w:color w:val="222222"/>
          <w:sz w:val="21"/>
        </w:rPr>
        <w:t>Exactly 127 rows.</w:t>
      </w:r>
    </w:p>
    <w:p>
      <w:pPr>
        <w:pStyle w:val="ListBullet"/>
        <w:spacing w:line="300" w:lineRule="auto" w:after="40"/>
      </w:pPr>
      <w:r>
        <w:rPr>
          <w:rFonts w:ascii="Microsoft YaHei" w:hAnsi="Microsoft YaHei" w:eastAsia="Microsoft YaHei"/>
          <w:b w:val="0"/>
          <w:color w:val="222222"/>
          <w:sz w:val="21"/>
        </w:rPr>
        <w:t>One row per language-available test scene.</w:t>
      </w:r>
    </w:p>
    <w:p>
      <w:pPr>
        <w:pStyle w:val="ListBullet"/>
        <w:spacing w:line="300" w:lineRule="auto" w:after="40"/>
      </w:pPr>
      <w:r>
        <w:rPr>
          <w:rFonts w:ascii="Microsoft YaHei" w:hAnsi="Microsoft YaHei" w:eastAsia="Microsoft YaHei"/>
          <w:b w:val="0"/>
          <w:color w:val="222222"/>
          <w:sz w:val="21"/>
        </w:rPr>
        <w:t>sample_token set to official dataloader-returned scene_token.</w:t>
      </w:r>
    </w:p>
    <w:p>
      <w:pPr>
        <w:pStyle w:val="ListBullet"/>
        <w:spacing w:line="300" w:lineRule="auto" w:after="40"/>
      </w:pPr>
      <w:r>
        <w:rPr>
          <w:rFonts w:ascii="Microsoft YaHei" w:hAnsi="Microsoft YaHei" w:eastAsia="Microsoft YaHei"/>
          <w:b w:val="0"/>
          <w:color w:val="222222"/>
          <w:sz w:val="21"/>
        </w:rPr>
        <w:t>Matched instruction-conditioned and no-language baseline files for Delta ADE reporting.</w:t>
      </w:r>
    </w:p>
    <w:p>
      <w:pPr>
        <w:spacing w:line="324" w:lineRule="auto" w:after="100"/>
        <w:jc w:val="left"/>
      </w:pPr>
      <w:r>
        <w:rPr>
          <w:rFonts w:ascii="Microsoft YaHei" w:hAnsi="Microsoft YaHei" w:eastAsia="Microsoft YaHei"/>
          <w:b w:val="0"/>
          <w:color w:val="222222"/>
          <w:sz w:val="21"/>
        </w:rPr>
        <w:t>Both files pass local precheck with row/token consistency.</w:t>
      </w:r>
    </w:p>
    <w:p>
      <w:pPr>
        <w:pStyle w:val="Heading2"/>
        <w:spacing w:before="200" w:after="80"/>
      </w:pPr>
      <w:r>
        <w:rPr>
          <w:rFonts w:ascii="Microsoft YaHei" w:hAnsi="Microsoft YaHei" w:eastAsia="Microsoft YaHei"/>
          <w:b/>
          <w:color w:val="1A5376"/>
          <w:sz w:val="26"/>
        </w:rPr>
        <w:t>10. Ethics and Safety Considerations</w:t>
      </w:r>
    </w:p>
    <w:p>
      <w:pPr>
        <w:spacing w:line="324" w:lineRule="auto" w:after="100"/>
        <w:jc w:val="left"/>
      </w:pPr>
      <w:r>
        <w:rPr>
          <w:rFonts w:ascii="Microsoft YaHei" w:hAnsi="Microsoft YaHei" w:eastAsia="Microsoft YaHei"/>
          <w:b w:val="0"/>
          <w:color w:val="222222"/>
          <w:sz w:val="21"/>
        </w:rPr>
        <w:t>The dataset is derived from public-road driving data and language annotations for research usage. In practical system design:</w:t>
      </w:r>
    </w:p>
    <w:p>
      <w:pPr>
        <w:pStyle w:val="ListNumber"/>
        <w:spacing w:line="300" w:lineRule="auto" w:after="40"/>
      </w:pPr>
      <w:r>
        <w:rPr>
          <w:rFonts w:ascii="Microsoft YaHei" w:hAnsi="Microsoft YaHei" w:eastAsia="Microsoft YaHei"/>
          <w:b w:val="0"/>
          <w:color w:val="222222"/>
          <w:sz w:val="21"/>
        </w:rPr>
        <w:t>Language must not override traffic law or hard safety constraints.</w:t>
      </w:r>
    </w:p>
    <w:p>
      <w:pPr>
        <w:pStyle w:val="ListNumber"/>
        <w:spacing w:line="300" w:lineRule="auto" w:after="40"/>
      </w:pPr>
      <w:r>
        <w:rPr>
          <w:rFonts w:ascii="Microsoft YaHei" w:hAnsi="Microsoft YaHei" w:eastAsia="Microsoft YaHei"/>
          <w:b w:val="0"/>
          <w:color w:val="222222"/>
          <w:sz w:val="21"/>
        </w:rPr>
        <w:t>Ambiguous instructions should defer more to scene context and conservative behavior.</w:t>
      </w:r>
    </w:p>
    <w:p>
      <w:pPr>
        <w:pStyle w:val="ListNumber"/>
        <w:spacing w:line="300" w:lineRule="auto" w:after="40"/>
      </w:pPr>
      <w:r>
        <w:rPr>
          <w:rFonts w:ascii="Microsoft YaHei" w:hAnsi="Microsoft YaHei" w:eastAsia="Microsoft YaHei"/>
          <w:b w:val="0"/>
          <w:color w:val="222222"/>
          <w:sz w:val="21"/>
        </w:rPr>
        <w:t>Adversarial/misleading wording should be stress-tested for robustness.</w:t>
      </w:r>
    </w:p>
    <w:p>
      <w:pPr>
        <w:spacing w:line="324" w:lineRule="auto" w:after="100"/>
        <w:jc w:val="left"/>
      </w:pPr>
      <w:r>
        <w:rPr>
          <w:rFonts w:ascii="Microsoft YaHei" w:hAnsi="Microsoft YaHei" w:eastAsia="Microsoft YaHei"/>
          <w:b w:val="0"/>
          <w:color w:val="222222"/>
          <w:sz w:val="21"/>
        </w:rPr>
        <w:t>A trajectory predictor should remain a component within a larger safety-validated stack, not an unconstrained control policy.</w:t>
      </w:r>
    </w:p>
    <w:p>
      <w:pPr>
        <w:pStyle w:val="Heading2"/>
        <w:spacing w:before="200" w:after="80"/>
      </w:pPr>
      <w:r>
        <w:rPr>
          <w:rFonts w:ascii="Microsoft YaHei" w:hAnsi="Microsoft YaHei" w:eastAsia="Microsoft YaHei"/>
          <w:b/>
          <w:color w:val="1A5376"/>
          <w:sz w:val="26"/>
        </w:rPr>
        <w:t>11. Future Work</w:t>
      </w:r>
    </w:p>
    <w:p>
      <w:pPr>
        <w:spacing w:line="324" w:lineRule="auto" w:after="100"/>
        <w:jc w:val="left"/>
      </w:pPr>
      <w:r>
        <w:rPr>
          <w:rFonts w:ascii="Microsoft YaHei" w:hAnsi="Microsoft YaHei" w:eastAsia="Microsoft YaHei"/>
          <w:b w:val="0"/>
          <w:color w:val="222222"/>
          <w:sz w:val="21"/>
        </w:rPr>
        <w:t>Planned directions include:</w:t>
      </w:r>
    </w:p>
    <w:p>
      <w:pPr>
        <w:pStyle w:val="ListNumber"/>
        <w:spacing w:line="300" w:lineRule="auto" w:after="40"/>
      </w:pPr>
      <w:r>
        <w:rPr>
          <w:rFonts w:ascii="Microsoft YaHei" w:hAnsi="Microsoft YaHei" w:eastAsia="Microsoft YaHei"/>
          <w:b w:val="0"/>
          <w:color w:val="222222"/>
          <w:sz w:val="21"/>
        </w:rPr>
        <w:t>Stronger semantic grounding checks and targeted ablations.</w:t>
      </w:r>
    </w:p>
    <w:p>
      <w:pPr>
        <w:pStyle w:val="ListNumber"/>
        <w:spacing w:line="300" w:lineRule="auto" w:after="40"/>
      </w:pPr>
      <w:r>
        <w:rPr>
          <w:rFonts w:ascii="Microsoft YaHei" w:hAnsi="Microsoft YaHei" w:eastAsia="Microsoft YaHei"/>
          <w:b w:val="0"/>
          <w:color w:val="222222"/>
          <w:sz w:val="21"/>
        </w:rPr>
        <w:t>Additional robustness evaluation under adversarial and contradictory instructions.</w:t>
      </w:r>
    </w:p>
    <w:p>
      <w:pPr>
        <w:pStyle w:val="ListNumber"/>
        <w:spacing w:line="300" w:lineRule="auto" w:after="40"/>
      </w:pPr>
      <w:r>
        <w:rPr>
          <w:rFonts w:ascii="Microsoft YaHei" w:hAnsi="Microsoft YaHei" w:eastAsia="Microsoft YaHei"/>
          <w:b w:val="0"/>
          <w:color w:val="222222"/>
          <w:sz w:val="21"/>
        </w:rPr>
        <w:t>Further optimization of endpoint stability under strict protocol-consistent test conditions.</w:t>
      </w:r>
    </w:p>
    <w:p>
      <w:pPr>
        <w:pStyle w:val="ListNumber"/>
        <w:spacing w:line="300" w:lineRule="auto" w:after="40"/>
      </w:pPr>
      <w:r>
        <w:rPr>
          <w:rFonts w:ascii="Microsoft YaHei" w:hAnsi="Microsoft YaHei" w:eastAsia="Microsoft YaHei"/>
          <w:b w:val="0"/>
          <w:color w:val="222222"/>
          <w:sz w:val="21"/>
        </w:rPr>
        <w:t>More systematic seed and configuration sweeps balancing language gain and variance.</w:t>
      </w:r>
    </w:p>
    <w:p>
      <w:pPr>
        <w:pStyle w:val="Heading2"/>
        <w:spacing w:before="200" w:after="80"/>
      </w:pPr>
      <w:r>
        <w:rPr>
          <w:rFonts w:ascii="Microsoft YaHei" w:hAnsi="Microsoft YaHei" w:eastAsia="Microsoft YaHei"/>
          <w:b/>
          <w:color w:val="1A5376"/>
          <w:sz w:val="26"/>
        </w:rPr>
        <w:t>12. Conclusion</w:t>
      </w:r>
    </w:p>
    <w:p>
      <w:pPr>
        <w:spacing w:line="324" w:lineRule="auto" w:after="100"/>
        <w:jc w:val="left"/>
      </w:pPr>
      <w:r>
        <w:rPr>
          <w:rFonts w:ascii="Microsoft YaHei" w:hAnsi="Microsoft YaHei" w:eastAsia="Microsoft YaHei"/>
          <w:b w:val="0"/>
          <w:color w:val="222222"/>
          <w:sz w:val="21"/>
        </w:rPr>
        <w:t>This report presents a reproducible Dual-Head language-conditioned trajectory framework for doScenes Language+History prediction. By combining structural separation, sample rebalancing, and ranking-based relative optimization, the method achieves ADE_instruction = 3.435528, ADE_baseline = 3.998661, and Delta ADE = 0.563133 under the official instruction-conditioned evaluation scope, while also passing corrected official submission protocol checks.</w:t>
      </w:r>
    </w:p>
    <w:p>
      <w:pPr>
        <w:pStyle w:val="Heading2"/>
        <w:spacing w:before="200" w:after="80"/>
      </w:pPr>
      <w:r>
        <w:rPr>
          <w:rFonts w:ascii="Microsoft YaHei" w:hAnsi="Microsoft YaHei" w:eastAsia="Microsoft YaHei"/>
          <w:b/>
          <w:color w:val="1A5376"/>
          <w:sz w:val="26"/>
        </w:rPr>
        <w:t>References</w:t>
      </w:r>
    </w:p>
    <w:p>
      <w:pPr>
        <w:spacing w:line="324" w:lineRule="auto" w:after="100"/>
        <w:jc w:val="left"/>
      </w:pPr>
      <w:r>
        <w:rPr>
          <w:rFonts w:ascii="Microsoft YaHei" w:hAnsi="Microsoft YaHei" w:eastAsia="Microsoft YaHei"/>
          <w:b w:val="0"/>
          <w:color w:val="222222"/>
          <w:sz w:val="21"/>
        </w:rPr>
        <w:t>[1] doScenes Challenge Website: https://mi3-lab.github.io/doScenes_challenge</w:t>
      </w:r>
    </w:p>
    <w:p>
      <w:pPr>
        <w:spacing w:line="324" w:lineRule="auto" w:after="100"/>
        <w:jc w:val="left"/>
      </w:pPr>
      <w:r>
        <w:rPr>
          <w:rFonts w:ascii="Microsoft YaHei" w:hAnsi="Microsoft YaHei" w:eastAsia="Microsoft YaHei"/>
          <w:b w:val="0"/>
          <w:color w:val="222222"/>
          <w:sz w:val="21"/>
        </w:rPr>
        <w:t>[2] doScenes Repository: https://github.com/rossgreer/doScenes</w:t>
      </w:r>
    </w:p>
    <w:p>
      <w:pPr>
        <w:spacing w:line="324" w:lineRule="auto" w:after="100"/>
        <w:jc w:val="left"/>
      </w:pPr>
      <w:r>
        <w:rPr>
          <w:rFonts w:ascii="Microsoft YaHei" w:hAnsi="Microsoft YaHei" w:eastAsia="Microsoft YaHei"/>
          <w:b w:val="0"/>
          <w:color w:val="222222"/>
          <w:sz w:val="21"/>
        </w:rPr>
        <w:t>[3] Alahi et al., Social LSTM, CVPR 2016.</w:t>
      </w:r>
    </w:p>
    <w:p>
      <w:pPr>
        <w:spacing w:line="324" w:lineRule="auto" w:after="100"/>
        <w:jc w:val="left"/>
      </w:pPr>
      <w:r>
        <w:rPr>
          <w:rFonts w:ascii="Microsoft YaHei" w:hAnsi="Microsoft YaHei" w:eastAsia="Microsoft YaHei"/>
          <w:b w:val="0"/>
          <w:color w:val="222222"/>
          <w:sz w:val="21"/>
        </w:rPr>
        <w:t>[4] Salzmann et al., Trajectron++, ECCV 2020.</w:t>
      </w:r>
    </w:p>
    <w:p>
      <w:pPr>
        <w:spacing w:line="324" w:lineRule="auto" w:after="100"/>
        <w:jc w:val="left"/>
      </w:pPr>
      <w:r>
        <w:rPr>
          <w:rFonts w:ascii="Microsoft YaHei" w:hAnsi="Microsoft YaHei" w:eastAsia="Microsoft YaHei"/>
          <w:b w:val="0"/>
          <w:color w:val="222222"/>
          <w:sz w:val="21"/>
        </w:rPr>
        <w:t>[5] Vaswani et al., Attention Is All You Need, NeurIPS 2017.</w:t>
      </w:r>
    </w:p>
    <w:p>
      <w:pPr>
        <w:spacing w:line="324" w:lineRule="auto" w:after="100"/>
        <w:jc w:val="left"/>
      </w:pPr>
      <w:r>
        <w:rPr>
          <w:rFonts w:ascii="Microsoft YaHei" w:hAnsi="Microsoft YaHei" w:eastAsia="Microsoft YaHei"/>
          <w:b w:val="0"/>
          <w:color w:val="222222"/>
          <w:sz w:val="21"/>
        </w:rPr>
        <w:t>[6] Devlin et al., BERT, NAACL 2019.</w:t>
      </w:r>
    </w:p>
    <w:p>
      <w:pPr>
        <w:spacing w:line="324" w:lineRule="auto" w:after="100"/>
        <w:jc w:val="left"/>
      </w:pPr>
      <w:r>
        <w:rPr>
          <w:rFonts w:ascii="Microsoft YaHei" w:hAnsi="Microsoft YaHei" w:eastAsia="Microsoft YaHei"/>
          <w:b w:val="0"/>
          <w:color w:val="222222"/>
          <w:sz w:val="21"/>
        </w:rPr>
        <w:t>[7] Sanh et al., DistilBERT, arXiv 2019.</w:t>
      </w:r>
    </w:p>
    <w:p>
      <w:pPr>
        <w:spacing w:line="324" w:lineRule="auto" w:after="100"/>
        <w:jc w:val="left"/>
      </w:pPr>
      <w:r>
        <w:rPr>
          <w:rFonts w:ascii="Microsoft YaHei" w:hAnsi="Microsoft YaHei" w:eastAsia="Microsoft YaHei"/>
          <w:b w:val="0"/>
          <w:color w:val="222222"/>
          <w:sz w:val="21"/>
        </w:rPr>
        <w:t>[8] Bae et al., Language-Based Multimodal Trajectory Prediction, CVPR 2024.</w:t>
      </w:r>
    </w:p>
    <w:sectPr w:rsidR="00FC693F" w:rsidRPr="0006063C" w:rsidSect="00034616">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F33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A53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D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F33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5C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