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98.1%</w:t>
      </w:r>
      <w:r>
        <w:rPr>
          <w:rFonts w:ascii="宋体" w:hAnsi="宋体" w:eastAsia="宋体"/>
          <w:b w:val="0"/>
        </w:rPr>
        <w:t>（最终交付树 2026-10-20 复核；10-18 同代码 97.1%）。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精度：最终交付树（内核已迁入 FlagGems）MATH-500 Level 3 = </w:t>
      </w:r>
      <w:r>
        <w:rPr>
          <w:rFonts w:ascii="宋体" w:hAnsi="宋体" w:eastAsia="宋体"/>
          <w:b/>
        </w:rPr>
        <w:t>98.1%</w:t>
      </w:r>
      <w:r>
        <w:rPr>
          <w:rFonts w:ascii="宋体" w:hAnsi="宋体" w:eastAsia="宋体"/>
          <w:b w:val="0"/>
        </w:rPr>
        <w:t>（105 题）；</w:t>
      </w:r>
    </w:p>
    <w:p>
      <w:pPr>
        <w:spacing w:after="100"/>
      </w:pPr>
      <w:r>
        <w:rPr>
          <w:rFonts w:ascii="宋体" w:hAnsi="宋体" w:eastAsia="宋体"/>
          <w:b w:val="0"/>
        </w:rPr>
        <w:t>10-18 同代码复核为 97.1%，两次都在基线 96.2% 之上。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