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FB37A9">
      <w:pPr>
        <w:pStyle w:val="主标题"/>
      </w:pPr>
      <w:r>
        <w:t>MiniCPM5-2B 双国产芯片推理吞吐优化技术报告</w:t>
      </w:r>
    </w:p>
    <w:p w14:paraId="1505817A">
      <w:pPr>
        <w:pStyle w:val="Subtitle"/>
      </w:pPr>
      <w:r>
        <w:t>——面向天数 BI-V150 与沐曦曦云 C500 的算子、内核与调度优化</w:t>
      </w:r>
    </w:p>
    <w:p w14:paraId="612B5E9F">
      <w:pPr>
        <w:pStyle w:val="Subtitle"/>
      </w:pPr>
      <w:r>
        <w:t>赛道：FlagOS 开放计算全球大赛（赛季二）赛道二：MiniCPM 模型推理吞吐性能优化</w:t>
      </w:r>
    </w:p>
    <w:p w14:paraId="A4727A58">
      <w:pPr>
        <w:jc w:val="center"/>
      </w:pPr>
      <w:r>
        <w:t>队伍：XLANG2026　　队员：邓乾（GitHub：xy200303，单人组队）</w:t>
      </w:r>
    </w:p>
    <w:p w14:paraId="4C9E6DB3">
      <w:pPr>
        <w:jc w:val="center"/>
      </w:pPr>
      <w:r>
        <w:t>日期：2026 年 10 月 24 日　　代码与实验记录：github.com/xy200303/minicpm-flagserve</w:t>
      </w:r>
    </w:p>
    <w:p w14:paraId="E4FCD173">
      <w:pPr>
        <w:pStyle w:val="一级标题"/>
      </w:pPr>
      <w:r>
        <w:t>摘　要</w:t>
      </w:r>
    </w:p>
    <w:p w14:paraId="FC0EDA5C">
      <w:r>
        <w:t>本报告面向国产芯片上的大模型推理吞吐优化任务，在官方指定的 FlagOS 栈（vllm-plugin-FL 分支 flagos-2026-s2、FlagGems 标签 v5.3.5）上，对 MiniCPM5-2B 在天数 BI-V150 与沐曦曦云 C500 两款芯片开展有开发量的算子、内核与调度优化。全部工作均不修改 vllm serve 启动参数、不更换模型、不降低精度。</w:t>
      </w:r>
    </w:p>
    <w:p w14:paraId="83760214">
      <w:r>
        <w:t>性能方面，沐曦 C500 平台 4k 场景总吞吐达到 11868.79–12403.21 tok/s，为官方基线的 2.33–2.44 倍；16k 场景达到 11098.02–11167.87 tok/s，为基线的 1.58–1.59 倍。天数 BI-V150 平台 4k 场景由官网基线 2028.01 提升至 2606.56 tok/s（+28.5%），16k 场景由 915.15 提升至 3541.34 tok/s（+287%）；其中 A20 自研内核在同日交错 A/B 下，相对当日 stock 再提升 16.4% 与 19.8%。精度方面，MATH-500 Level 3 保持在 96.2%–98.1%，高于 95% 的赛题要求；TTFT 在各场景均未回退。</w:t>
      </w:r>
    </w:p>
    <w:p w14:paraId="85DF267D">
      <w:r>
        <w:t>主要技术贡献包括：（1）面向国产芯片的 shape-aware 分派方法论，把离线全空间扫描与按输入形状选择实现/配置统一到两类芯片的 GEMM、attention 与采样算子上；（2）免排序的 top-p 采样链，用 1024-bin 质量直方图替代全词表排序，保留集质量有下界保证；（3）自研 paged decode attention 内核，从 PV 矩阵乘的累加器布局转换这一具体瓶颈出发，使 decode attention 带宽由 258 GB/s 提升到 372 GB/s；（4）一套可复核的“微基准—当日交错 A/B—官方口径验收”测量闭环，并给出全部被否决方案的实证与原因。</w:t>
      </w:r>
    </w:p>
    <w:p w14:paraId="BCE62FD3">
      <w:r>
        <w:t>关键词：国产芯片；推理吞吐；算子融合；paged decode attention；shape-aware dispatch；vLLM</w:t>
      </w:r>
    </w:p>
    <w:p w14:paraId="A92645C7">
      <w:pPr>
        <w:pStyle w:val="一级标题"/>
      </w:pPr>
      <w:r>
        <w:t>1　任务与约束</w:t>
      </w:r>
    </w:p>
    <w:p w14:paraId="27F3AB7A">
      <w:pPr>
        <w:pStyle w:val="二级标题"/>
      </w:pPr>
      <w:r>
        <w:t>1.1　任务定义</w:t>
      </w:r>
    </w:p>
    <w:p w14:paraId="E1F02241">
      <w:r>
        <w:t>本赛题要求在不改变模型、不降低精度的前提下，提升 MiniCPM5-2B 在两指定国产芯片上的推理总吞吐（total tokens/s）。优化必须落在框架与算子内部，且需具备实际开发量：KV Cache 与动态批处理、算子融合、内核重写、自研量化策略等均在允许范围内；直接 merge 上游分支、修改 benchmark 脚本、或在缺乏算子优化的情况下切换算子均被禁止。</w:t>
      </w:r>
    </w:p>
    <w:p w14:paraId="CC4AB334">
      <w:pPr>
        <w:pStyle w:val="二级标题"/>
      </w:pPr>
      <w:r>
        <w:t>1.2　评测口径</w:t>
      </w:r>
    </w:p>
    <w:p w14:paraId="CD07640B">
      <w:pPr>
        <w:pStyle w:val="题注"/>
        <w:jc w:val="center"/>
      </w:pPr>
      <w:r>
        <w:t xml:space="preserve">表 </w:t>
      </w:r>
      <w:r>
        <w:fldChar w:fldCharType="begin" w:dirty="true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t xml:space="preserve"> 官方性能评测场景与约束</w:t>
      </w:r>
    </w:p>
    <w:tbl>
      <w:tblPr>
        <w:tblStyle w:val="正式表格"/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8DB3D1"/>
          <w:bottom w:val="single" w:sz="6" w:space="0" w:color="8DB3D1"/>
          <w:left w:val="single" w:sz="6" w:space="0" w:color="8DB3D1"/>
          <w:right w:val="single" w:sz="6" w:space="0" w:color="8DB3D1"/>
          <w:insideH w:val="single" w:sz="4" w:space="0" w:color="D5E3F0"/>
          <w:insideV w:val="single" w:sz="4" w:space="0" w:color="D5E3F0"/>
        </w:tblBorders>
      </w:tblPr>
      <w:tblGrid>
        <w:gridCol w:w="4422"/>
        <w:gridCol w:w="4422"/>
      </w:tblGrid>
      <w:tr>
        <w:tc>
          <w:tcPr>
            <w:tcW w:type="dxa" w:w="4422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1F4E79"/>
            <w:tcBorders>
              <w:bottom w:val="single" w:sz="8" w:space="0" w:color="1F4E79"/>
            </w:tcBorders>
          </w:tcPr>
          <w:p w14:paraId="250E85CF">
            <w:pPr>
              <w:spacing w:before="0" w:after="0"/>
              <w:ind w:firstLine="0" w:left="0" w:right="0" w:firstLineChars="0"/>
              <w:jc w:val="center"/>
            </w:pPr>
            <w:r>
              <w:rPr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1F4E79"/>
            <w:tcBorders>
              <w:bottom w:val="single" w:sz="8" w:space="0" w:color="1F4E79"/>
            </w:tcBorders>
          </w:tcPr>
          <w:p w14:paraId="9F2E0CD7">
            <w:pPr>
              <w:spacing w:before="0" w:after="0"/>
              <w:ind w:firstLine="0" w:left="0" w:right="0" w:firstLineChars="0"/>
              <w:jc w:val="center"/>
            </w:pPr>
            <w:r>
              <w:rPr>
                <w:b/>
                <w:color w:val="FFFFFF"/>
                <w:sz w:val="22"/>
              </w:rPr>
              <w:t>内容</w:t>
            </w:r>
          </w:p>
        </w:tc>
        <w:trPr>
          <w:tblHeader w:val="true"/>
          <w:cantSplit w:val="true"/>
        </w:trPr>
      </w:tr>
      <w:tr>
        <w:tc>
          <w:tcPr>
            <w:tcW w:type="dxa" w:w="4422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010EF3D9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性能指标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243C5E61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total tokens/s（总吞吐，取 4k 与 16k 两场景平均）</w:t>
            </w:r>
          </w:p>
        </w:tc>
      </w:tr>
      <w:tr>
        <w:tc>
          <w:tcPr>
            <w:tcW w:type="dxa" w:w="4422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4E59E2D7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4k 场景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81E36079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[input_len=4096, output_len=1024, concurrency=64, num_prompts=256]</w:t>
            </w:r>
          </w:p>
        </w:tc>
      </w:tr>
      <w:tr>
        <w:tc>
          <w:tcPr>
            <w:tcW w:type="dxa" w:w="4422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73D367F6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16k 场景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578AC745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[input_len=16384, output_len=1024, concurrency=64, num_prompts=128]</w:t>
            </w:r>
          </w:p>
        </w:tc>
      </w:tr>
      <w:tr>
        <w:tc>
          <w:tcPr>
            <w:tcW w:type="dxa" w:w="4422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DF3C5424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精度要求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C6A8A17F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MATH-500 Level 3，基线 0.962，要求 ≥ 0.95</w:t>
            </w:r>
          </w:p>
        </w:tc>
      </w:tr>
      <w:tr>
        <w:tc>
          <w:tcPr>
            <w:tcW w:type="dxa" w:w="4422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E48BBE36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TTFT 要求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AC582FB5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不得超过基线的 +1%</w:t>
            </w:r>
          </w:p>
        </w:tc>
      </w:tr>
      <w:tr>
        <w:tc>
          <w:tcPr>
            <w:tcW w:type="dxa" w:w="4422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D3A05D0D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启动参数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77F2F701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vllm serve 参数必须与基线完全一致</w:t>
            </w:r>
          </w:p>
        </w:tc>
      </w:tr>
    </w:tbl>
    <w:p w14:paraId="42CFA9A5">
      <w:r>
        <w:t>本报告所有性能数字均来自官方 benchmark 脚本（vllm bench serve）与官方聚合口径，且在无计时埋点、冷缓存条件下测得；精度数字来自 evalscope 官方原命令的 MATH-500 Level 3 子集（105 题）。</w:t>
      </w:r>
    </w:p>
    <w:p w14:paraId="11FD10AA">
      <w:pPr>
        <w:pStyle w:val="一级标题"/>
      </w:pPr>
      <w:r>
        <w:t>2　总体成绩</w:t>
      </w:r>
    </w:p>
    <w:p w14:paraId="D0E1DDA3">
      <w:r>
        <w:t>沐曦 C500 的结果在两台不同实例上各复测一次，取区间报告；天数 BI-V150 的结果以同日交错 A/B 的相对收益表述（该开发实例跨时段漂移较大，跨日绝对值不可比）。</w:t>
      </w:r>
    </w:p>
    <w:p w14:paraId="A53A7EA0">
      <w:pPr>
        <w:pStyle w:val="题注"/>
        <w:jc w:val="center"/>
      </w:pPr>
      <w:r>
        <w:t xml:space="preserve">表 </w:t>
      </w:r>
      <w:r>
        <w:fldChar w:fldCharType="begin" w:dirty="true"/>
      </w:r>
      <w:r>
        <w:instrText xml:space="preserve"> SEQ Table \* ARABIC </w:instrText>
      </w:r>
      <w:r>
        <w:fldChar w:fldCharType="separate"/>
      </w:r>
      <w:r>
        <w:t>2</w:t>
      </w:r>
      <w:r>
        <w:fldChar w:fldCharType="end"/>
      </w:r>
      <w:r>
        <w:t xml:space="preserve"> 总体性能与精度结果</w:t>
      </w:r>
    </w:p>
    <w:tbl>
      <w:tblPr>
        <w:tblStyle w:val="正式表格"/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8DB3D1"/>
          <w:bottom w:val="single" w:sz="6" w:space="0" w:color="8DB3D1"/>
          <w:left w:val="single" w:sz="6" w:space="0" w:color="8DB3D1"/>
          <w:right w:val="single" w:sz="6" w:space="0" w:color="8DB3D1"/>
          <w:insideH w:val="single" w:sz="4" w:space="0" w:color="D5E3F0"/>
          <w:insideV w:val="single" w:sz="4" w:space="0" w:color="D5E3F0"/>
        </w:tblBorders>
      </w:tblPr>
      <w:tblGrid>
        <w:gridCol w:w="1769"/>
        <w:gridCol w:w="1769"/>
        <w:gridCol w:w="1769"/>
        <w:gridCol w:w="1769"/>
        <w:gridCol w:w="1769"/>
      </w:tblGrid>
      <w:tr>
        <w:tc>
          <w:tcPr>
            <w:tcW w:type="dxa" w:w="1769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1F4E79"/>
            <w:tcBorders>
              <w:bottom w:val="single" w:sz="8" w:space="0" w:color="1F4E79"/>
            </w:tcBorders>
          </w:tcPr>
          <w:p w14:paraId="6E873984">
            <w:pPr>
              <w:spacing w:before="0" w:after="0"/>
              <w:ind w:firstLine="0" w:left="0" w:right="0" w:firstLineChars="0"/>
              <w:jc w:val="center"/>
            </w:pPr>
            <w:r>
              <w:rPr>
                <w:b/>
                <w:color w:val="FFFFFF"/>
                <w:sz w:val="22"/>
              </w:rPr>
              <w:t>平台</w:t>
            </w:r>
          </w:p>
        </w:tc>
        <w:tc>
          <w:tcPr>
            <w:tcW w:type="dxa" w:w="1769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1F4E79"/>
            <w:tcBorders>
              <w:bottom w:val="single" w:sz="8" w:space="0" w:color="1F4E79"/>
            </w:tcBorders>
          </w:tcPr>
          <w:p w14:paraId="F338348E">
            <w:pPr>
              <w:spacing w:before="0" w:after="0"/>
              <w:ind w:firstLine="0" w:left="0" w:right="0" w:firstLineChars="0"/>
              <w:jc w:val="center"/>
            </w:pPr>
            <w:r>
              <w:rPr>
                <w:b/>
                <w:color w:val="FFFFFF"/>
                <w:sz w:val="22"/>
              </w:rPr>
              <w:t>场景</w:t>
            </w:r>
          </w:p>
        </w:tc>
        <w:tc>
          <w:tcPr>
            <w:tcW w:type="dxa" w:w="1769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1F4E79"/>
            <w:tcBorders>
              <w:bottom w:val="single" w:sz="8" w:space="0" w:color="1F4E79"/>
            </w:tcBorders>
          </w:tcPr>
          <w:p w14:paraId="C38BAED0">
            <w:pPr>
              <w:spacing w:before="0" w:after="0"/>
              <w:ind w:firstLine="0" w:left="0" w:right="0" w:firstLineChars="0"/>
              <w:jc w:val="center"/>
            </w:pPr>
            <w:r>
              <w:rPr>
                <w:b/>
                <w:color w:val="FFFFFF"/>
                <w:sz w:val="22"/>
              </w:rPr>
              <w:t>官方基线（tok/s）</w:t>
            </w:r>
          </w:p>
        </w:tc>
        <w:tc>
          <w:tcPr>
            <w:tcW w:type="dxa" w:w="1769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1F4E79"/>
            <w:tcBorders>
              <w:bottom w:val="single" w:sz="8" w:space="0" w:color="1F4E79"/>
            </w:tcBorders>
          </w:tcPr>
          <w:p w14:paraId="0CA665BF">
            <w:pPr>
              <w:spacing w:before="0" w:after="0"/>
              <w:ind w:firstLine="0" w:left="0" w:right="0" w:firstLineChars="0"/>
              <w:jc w:val="center"/>
            </w:pPr>
            <w:r>
              <w:rPr>
                <w:b/>
                <w:color w:val="FFFFFF"/>
                <w:sz w:val="22"/>
              </w:rPr>
              <w:t>本提交（tok/s）</w:t>
            </w:r>
          </w:p>
        </w:tc>
        <w:tc>
          <w:tcPr>
            <w:tcW w:type="dxa" w:w="1769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1F4E79"/>
            <w:tcBorders>
              <w:bottom w:val="single" w:sz="8" w:space="0" w:color="1F4E79"/>
            </w:tcBorders>
          </w:tcPr>
          <w:p w14:paraId="5DC488A1">
            <w:pPr>
              <w:spacing w:before="0" w:after="0"/>
              <w:ind w:firstLine="0" w:left="0" w:right="0" w:firstLineChars="0"/>
              <w:jc w:val="center"/>
            </w:pPr>
            <w:r>
              <w:rPr>
                <w:b/>
                <w:color w:val="FFFFFF"/>
                <w:sz w:val="22"/>
              </w:rPr>
              <w:t>提升</w:t>
            </w:r>
          </w:p>
        </w:tc>
        <w:trPr>
          <w:tblHeader w:val="true"/>
          <w:cantSplit w:val="true"/>
        </w:trPr>
      </w:tr>
      <w:tr>
        <w:tc>
          <w:tcPr>
            <w:tcW w:type="dxa" w:w="1769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8476F4FF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沐曦 C500</w:t>
            </w:r>
          </w:p>
        </w:tc>
        <w:tc>
          <w:tcPr>
            <w:tcW w:type="dxa" w:w="1769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818A2506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4k</w:t>
            </w:r>
          </w:p>
        </w:tc>
        <w:tc>
          <w:tcPr>
            <w:tcW w:type="dxa" w:w="1769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687F6821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5089.645</w:t>
            </w:r>
          </w:p>
        </w:tc>
        <w:tc>
          <w:tcPr>
            <w:tcW w:type="dxa" w:w="1769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C214726C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11868.79–12403.21</w:t>
            </w:r>
          </w:p>
        </w:tc>
        <w:tc>
          <w:tcPr>
            <w:tcW w:type="dxa" w:w="1769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7FFF9251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2.33×–2.44×</w:t>
            </w:r>
          </w:p>
        </w:tc>
      </w:tr>
      <w:tr>
        <w:tc>
          <w:tcPr>
            <w:tcW w:type="dxa" w:w="1769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C49B60B1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沐曦 C500</w:t>
            </w:r>
          </w:p>
        </w:tc>
        <w:tc>
          <w:tcPr>
            <w:tcW w:type="dxa" w:w="1769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731600DE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16k</w:t>
            </w:r>
          </w:p>
        </w:tc>
        <w:tc>
          <w:tcPr>
            <w:tcW w:type="dxa" w:w="1769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D93A95B0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7029.675</w:t>
            </w:r>
          </w:p>
        </w:tc>
        <w:tc>
          <w:tcPr>
            <w:tcW w:type="dxa" w:w="1769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137B7711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11098.02–11167.87</w:t>
            </w:r>
          </w:p>
        </w:tc>
        <w:tc>
          <w:tcPr>
            <w:tcW w:type="dxa" w:w="1769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C8A98C9B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1.58×–1.59×</w:t>
            </w:r>
          </w:p>
        </w:tc>
      </w:tr>
      <w:tr>
        <w:tc>
          <w:tcPr>
            <w:tcW w:type="dxa" w:w="1769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53D25554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天数 BI-V150</w:t>
            </w:r>
          </w:p>
        </w:tc>
        <w:tc>
          <w:tcPr>
            <w:tcW w:type="dxa" w:w="1769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052BBFA6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4k</w:t>
            </w:r>
          </w:p>
        </w:tc>
        <w:tc>
          <w:tcPr>
            <w:tcW w:type="dxa" w:w="1769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D8D4D2B3">
            <w:pPr>
              <w:spacing w:before="0" w:after="0"/>
              <w:ind w:firstLine="0" w:left="0" w:right="0" w:firstLineChars="0"/>
              <w:jc w:val="center"/>
            </w:pPr>
            <w:r>
              <w:t>2028.01（官网基线）</w:t>
            </w:r>
          </w:p>
        </w:tc>
        <w:tc>
          <w:tcPr>
            <w:tcW w:type="dxa" w:w="1769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F4D5F505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2606.56</w:t>
            </w:r>
          </w:p>
        </w:tc>
        <w:tc>
          <w:tcPr>
            <w:tcW w:type="dxa" w:w="1769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61FA822E">
            <w:pPr>
              <w:spacing w:before="0" w:after="0"/>
              <w:ind w:firstLine="0" w:left="0" w:right="0" w:firstLineChars="0"/>
              <w:jc w:val="center"/>
            </w:pPr>
            <w:r>
              <w:t>+28.5%</w:t>
            </w:r>
          </w:p>
        </w:tc>
      </w:tr>
      <w:tr>
        <w:tc>
          <w:tcPr>
            <w:tcW w:type="dxa" w:w="1769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A0F96DB4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天数 BI-V150</w:t>
            </w:r>
          </w:p>
        </w:tc>
        <w:tc>
          <w:tcPr>
            <w:tcW w:type="dxa" w:w="1769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CD3E923E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16k</w:t>
            </w:r>
          </w:p>
        </w:tc>
        <w:tc>
          <w:tcPr>
            <w:tcW w:type="dxa" w:w="1769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4C5132B2">
            <w:pPr>
              <w:spacing w:before="0" w:after="0"/>
              <w:ind w:firstLine="0" w:left="0" w:right="0" w:firstLineChars="0"/>
              <w:jc w:val="center"/>
            </w:pPr>
            <w:r>
              <w:t>915.15（官网基线）</w:t>
            </w:r>
          </w:p>
        </w:tc>
        <w:tc>
          <w:tcPr>
            <w:tcW w:type="dxa" w:w="1769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0564DE3B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3541.34</w:t>
            </w:r>
          </w:p>
        </w:tc>
        <w:tc>
          <w:tcPr>
            <w:tcW w:type="dxa" w:w="1769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C9827FFB">
            <w:pPr>
              <w:spacing w:before="0" w:after="0"/>
              <w:ind w:firstLine="0" w:left="0" w:right="0" w:firstLineChars="0"/>
              <w:jc w:val="center"/>
            </w:pPr>
            <w:r>
              <w:t>+287%</w:t>
            </w:r>
          </w:p>
        </w:tc>
      </w:tr>
    </w:tbl>
    <w:p w14:paraId="AE678399">
      <w:r>
        <w:t>精度方面，C500 的 MATH-500 Level 3 为 97.14%–98.1%，天数 BI-V150 为 96.2%–98.1%，均高于 95% 的要求。C500 的 4k TTFT 为 2965 ms（基线 3199 ms），16k TTFT 为 17902 ms（基线 27197 ms）；天数 A20 的 16k TTFT 由 155.5 s 降至 130.1 s。</w:t>
      </w:r>
    </w:p>
    <w:p w14:paraId="C689109F">
      <w:pPr>
        <w:pStyle w:val="题注"/>
        <w:jc w:val="center"/>
      </w:pPr>
      <w:r>
        <w:drawing>
          <wp:anchor distT="72000" distB="72000" distL="72000" distR="720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400000" cy="2664000"/>
            <wp:wrapTopAndBottom/>
            <wp:docPr id="8" name="Picture 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fig8_accurac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400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C9CBA094">
      <w:pPr>
        <w:pStyle w:val="题注"/>
        <w:jc w:val="center"/>
      </w:pPr>
      <w:r>
        <w:t xml:space="preserve">图 </w:t>
      </w:r>
      <w:r>
        <w:fldChar w:fldCharType="begin" w:dirty="true"/>
      </w:r>
      <w:r>
        <w:instrText xml:space="preserve"> SEQ Figure \* ARABIC </w:instrText>
      </w:r>
      <w:r>
        <w:fldChar w:fldCharType="separate"/>
      </w:r>
      <w:r>
        <w:t>8</w:t>
      </w:r>
      <w:r>
        <w:fldChar w:fldCharType="end"/>
      </w:r>
      <w:r>
        <w:t xml:space="preserve"> MATH-500 Level 3 精度复测结果与赛题门槛</w:t>
      </w:r>
    </w:p>
    <w:p w14:paraId="EC918C7A">
      <w:pPr>
        <w:pStyle w:val="题注"/>
        <w:jc w:val="center"/>
      </w:pPr>
      <w:r>
        <w:drawing>
          <wp:anchor distT="72000" distB="72000" distL="72000" distR="720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400000" cy="2664000"/>
            <wp:wrapTopAndBottom/>
            <wp:docPr id="9" name="Picture 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fig9_ttf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400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B132360F">
      <w:pPr>
        <w:pStyle w:val="题注"/>
        <w:jc w:val="center"/>
      </w:pPr>
      <w:r>
        <w:t xml:space="preserve">图 </w:t>
      </w:r>
      <w:r>
        <w:fldChar w:fldCharType="begin" w:dirty="true"/>
      </w:r>
      <w:r>
        <w:instrText xml:space="preserve"> SEQ Figure \* ARABIC </w:instrText>
      </w:r>
      <w:r>
        <w:fldChar w:fldCharType="separate"/>
      </w:r>
      <w:r>
        <w:t>9</w:t>
      </w:r>
      <w:r>
        <w:fldChar w:fldCharType="end"/>
      </w:r>
      <w:r>
        <w:t xml:space="preserve"> 16k 场景 TTFT 对比（越低越好）</w:t>
      </w:r>
    </w:p>
    <w:p w14:paraId="56E9E809">
      <w:pPr>
        <w:pStyle w:val="题注"/>
        <w:jc w:val="center"/>
      </w:pPr>
      <w:r>
        <w:drawing>
          <wp:anchor distT="72000" distB="72000" distL="72000" distR="720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220000" cy="2736000"/>
            <wp:wrapTopAndBottom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fig1_c500_through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3600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E3AC7D43">
      <w:pPr>
        <w:pStyle w:val="题注"/>
        <w:jc w:val="center"/>
      </w:pPr>
      <w:r>
        <w:t xml:space="preserve">图 </w:t>
      </w:r>
      <w:r>
        <w:fldChar w:fldCharType="begin" w:dirty="true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 xml:space="preserve"> 沐曦 C500：官方基线与优化后总吞吐对比</w:t>
      </w:r>
    </w:p>
    <w:p w14:paraId="47614650">
      <w:pPr>
        <w:pStyle w:val="一级标题"/>
      </w:pPr>
      <w:r>
        <w:t>3　优化方法论</w:t>
      </w:r>
    </w:p>
    <w:p w14:paraId="31DCA255">
      <w:r>
        <w:t>两张芯片共用同一套闭环，每一步都保留可复核的工件（探针脚本、profile 数据、单测、官方 benchmark 原始 CSV）。</w:t>
      </w:r>
    </w:p>
    <w:p w14:paraId="27CDB367">
      <w:r>
        <w:t>（1）Profile 定位：先用 serve 时序日志、设备侧计时与 host 打点区分时间究竟花在 GPU 内核、host 发射还是隐式同步；（2）探针先行：任何替换或新内核，先在独立脚本里做全形状 bit-exact 或统计等价验证，再上 serve；（3）Shape-aware dispatch：同一算子保留多个等价实现或执行配置，按输入 shape 在派发层选择（赛题组 2026-10-10 已确认合规）；（4）官方口径验收：只用官方 benchmark 与 evalscope，serve 参数一字未改。</w:t>
      </w:r>
    </w:p>
    <w:p w14:paraId="60F11F58">
      <w:r>
        <w:t>正确性按强度分三档：能 bit-exact 的（A6 双 gather、A7 发射配置）一律 bit-exact；只能统计等价的（采样融合、GEMM 路由）用分布对比加 MATH-500 复核；所有进入提交的改动都必须通过官方精度门槛，未通过的一律回退并留档，不进入提交代码。</w:t>
      </w:r>
    </w:p>
    <w:p w14:paraId="B29D986F">
      <w:pPr>
        <w:pStyle w:val="一级标题"/>
      </w:pPr>
      <w:r>
        <w:t>4　沐曦 C500：采样链、GEMM 路由与 host 同步消除</w:t>
      </w:r>
    </w:p>
    <w:p w14:paraId="FAEF9EA0">
      <w:pPr>
        <w:pStyle w:val="二级标题"/>
      </w:pPr>
      <w:r>
        <w:t>4.1　瓶颈画像</w:t>
      </w:r>
    </w:p>
    <w:p w14:paraId="9E3CC96F">
      <w:r>
        <w:t>初始 profile 显示，C500 的 decode 阶段存在三类互相独立的开销：采样尾部是纯 eager PyTorch（bf16→fp32 cast、除温度、对 130560 词表排序取 top-p、gumbel-argmax），每步约 12 ms 且全在 host 串行；GEMM 存在布局与路由失配，vendor 高性能实现从 Python 侧不可达；prefill 每层还有隐式 DtoH 同步，造成 GPU 空闲。</w:t>
      </w:r>
    </w:p>
    <w:p w14:paraId="6013A66D">
      <w:pPr>
        <w:pStyle w:val="二级标题"/>
      </w:pPr>
      <w:r>
        <w:t>4.2　免排序的采样链（opt1／opt3／opt7／opt11）</w:t>
      </w:r>
    </w:p>
    <w:p w14:paraId="2090198B">
      <w:r>
        <w:t>自研 Triton 内核（FlagGems fused/sampler_fused.py、fused/top_p_sample.py）做三件事：其一，直接以 bf16 读取 lm_head 输出，把温度折叠进 Gumbel-Max（argmax(x/T+g) 与 argmax(x+T·g) 等价，T&lt;1e-5 时退化为 argmax）；其二，top-p 用质量直方图 zoom，单轮 1024-bin 直方图定位阈值 τ 所在 bin 并取其下沿，保留集质量恒不小于 p·Z，完全替代全词表排序；其三，词表维 split-parallel（32 splits × BLOCK 4096），使小 batch 也能打满芯片。采样全链由约 12.4 ms 降至 0.31 ms/步。</w:t>
      </w:r>
    </w:p>
    <w:p w14:paraId="9066C6C9">
      <w:r>
        <w:t>正确性方面，greedy 与 torch.argmax 完全一致；top-p 样本全部落在核集内（含直方图粒度 slack），与原实现的 TV 距离处于纯采样噪声区间。</w:t>
      </w:r>
    </w:p>
    <w:p w14:paraId="B86ED05C">
      <w:pPr>
        <w:pStyle w:val="题注"/>
        <w:jc w:val="center"/>
      </w:pPr>
      <w:r>
        <w:drawing>
          <wp:anchor distT="72000" distB="72000" distL="72000" distR="720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680000" cy="2736000"/>
            <wp:wrapTopAndBottom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fig2_sampl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3600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F3B055F8">
      <w:pPr>
        <w:pStyle w:val="题注"/>
        <w:jc w:val="center"/>
      </w:pPr>
      <w:r>
        <w:t xml:space="preserve">图 </w:t>
      </w:r>
      <w:r>
        <w:fldChar w:fldCharType="begin" w:dirty="true"/>
      </w:r>
      <w:r>
        <w:instrText xml:space="preserve"> SEQ Figure \* ARABIC </w:instrText>
      </w:r>
      <w:r>
        <w:fldChar w:fldCharType="separate"/>
      </w:r>
      <w:r>
        <w:t>2</w:t>
      </w:r>
      <w:r>
        <w:fldChar w:fldCharType="end"/>
      </w:r>
      <w:r>
        <w:t xml:space="preserve"> 采样全链单步耗时（对数坐标）</w:t>
      </w:r>
    </w:p>
    <w:p w14:paraId="63B12DFA">
      <w:pPr>
        <w:pStyle w:val="二级标题"/>
      </w:pPr>
      <w:r>
        <w:t>4.3　GEMM 布局与路由（opt2／opt4／opt6／opt8／opt11）</w:t>
      </w:r>
    </w:p>
    <w:p w14:paraId="18C2D98B">
      <w:r>
        <w:t>MACA Triton 的 mm_kernel 只支持 nn 布局，且在 prefill 大 M 下比 vendor mcBLAS 慢 1.35–1.67 倍（126 组配置全扫仍不敌，vendor 约 197 TFLOPS 逼近峰值）；而 FlagGems 进程级接管 aten::mm 之后，vendor GEMM 从 Python 完全不可达。为此，prefill 大 M 改走 ctypes 直绑 libmcblas 的 mcblasGemmEx（cuBLAS 兼容 ABI），并注册为 custom op 保证 compiled 区域安全；decode 细瘦 M 保留自研 Triton nn_db 单布局内核，权重只留一份，不额外占用显存。另修复 vocab_parallel_embedding 在 import 时绑死原版 dispatch_unquantized_gemm 导致 lm_head 从未进入优化路由的问题，lm_head 由 603 µs 降至 379 µs。</w:t>
      </w:r>
    </w:p>
    <w:p w14:paraId="0BB4101D">
      <w:pPr>
        <w:pStyle w:val="二级标题"/>
      </w:pPr>
      <w:r>
        <w:t>4.4　消除 prefill 每层 DtoH 同步（opt10）</w:t>
      </w:r>
    </w:p>
    <w:p w14:paraId="45908DFD">
      <w:r>
        <w:t>prefill trace 中 GPU 空闲 18.1%，元凶之一是 vendor flash_attn 每层每步执行 prefill_seq_lens.tolist()（DtoH 强同步，42 层各一次）。改为纯 GPU cumsum 并缓存到当步 attn_metadata，42 层只算一次：4k 提升 10.9%、16k 提升 9.9%，16k TTFT 由 20.8 s 降至 18.0 s。</w:t>
      </w:r>
    </w:p>
    <w:p w14:paraId="EC5727E5">
      <w:pPr>
        <w:pStyle w:val="题注"/>
        <w:jc w:val="center"/>
      </w:pPr>
      <w:r>
        <w:drawing>
          <wp:anchor distT="72000" distB="72000" distL="72000" distR="720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400000" cy="2736000"/>
            <wp:wrapTopAndBottom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fig3_c500_lad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3600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9EB690FD">
      <w:pPr>
        <w:pStyle w:val="题注"/>
        <w:jc w:val="center"/>
      </w:pPr>
      <w:r>
        <w:t xml:space="preserve">图 </w:t>
      </w:r>
      <w:r>
        <w:fldChar w:fldCharType="begin" w:dirty="true"/>
      </w:r>
      <w:r>
        <w:instrText xml:space="preserve"> SEQ Figure \* ARABIC </w:instrText>
      </w:r>
      <w:r>
        <w:fldChar w:fldCharType="separate"/>
      </w:r>
      <w:r>
        <w:t>3</w:t>
      </w:r>
      <w:r>
        <w:fldChar w:fldCharType="end"/>
      </w:r>
      <w:r>
        <w:t xml:space="preserve"> C500 4k 场景优化阶梯（total tokens/s）</w:t>
      </w:r>
    </w:p>
    <w:p w14:paraId="892D2216">
      <w:pPr>
        <w:pStyle w:val="一级标题"/>
      </w:pPr>
      <w:r>
        <w:t>5　天数 BI-V150：vendor 接入、发射配置与自研 decode 内核</w:t>
      </w:r>
    </w:p>
    <w:p w14:paraId="F1CC101F">
      <w:pPr>
        <w:pStyle w:val="二级标题"/>
      </w:pPr>
      <w:r>
        <w:t>5.1　prefill attention 接入 vendor ixAttnBkd（A1／A6）</w:t>
      </w:r>
    </w:p>
    <w:p w14:paraId="56631136">
      <w:r>
        <w:t>iluvatar 后端缺少 flash_attn 包时，attention 落到 vLLM 通用 Triton 参考实现，16k prefill 每层每 2048-chunk 需 36.8 ms，占 GPU busy 91.8%。接入 vendor ixAttnBkd 内核并确认其 causal 语义为 bottom-right（cmt=2）与 vLLM 的 chunk prefill 对齐后，内核级实测在所有 kv 长度上均快 12–20 倍。配套地，builder 一次性完成每步 decode/prefill 划分，避免每层两次 D2H；KV 用自研 Triton _dual_gather_kernel 一次完成 K+V 分页收集（bit-exact，GPU 106→62 µs、host 68→37 µs），varlen 分支用 out= 直写消除 copy-out，每请求发射数由 4 降为 2。</w:t>
      </w:r>
    </w:p>
    <w:p w14:paraId="23D5473A">
      <w:pPr>
        <w:pStyle w:val="二级标题"/>
      </w:pPr>
      <w:r>
        <w:t>5.2　decode unified-attention 发射配置重构（A7）</w:t>
      </w:r>
    </w:p>
    <w:p w14:paraId="3A8CE6B5">
      <w:r>
        <w:t>stock Triton 默认 num_warps=4、num_stages=3 是面向 NVIDIA 数据中心的甜点配置，在 BI-V150 上系统性失配：软件流水线在每个 warp 档上都是负收益，warps 越少越好。离线扫描 3D 主内核与 reduce_segments 全链路后，仅对 3D flash-decoding 路径固定为 w1 s1（TILE=16／SEG=16 经扫描本已最优），输出与 stock bit-exact（max_diff=0.0）。这一项同时说明，配置维度是独立于算法维度的优化空间。</w:t>
      </w:r>
    </w:p>
    <w:p w14:paraId="D47BAD53">
      <w:pPr>
        <w:pStyle w:val="题注"/>
        <w:jc w:val="center"/>
      </w:pPr>
      <w:r>
        <w:drawing>
          <wp:anchor distT="72000" distB="72000" distL="72000" distR="720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680000" cy="2664000"/>
            <wp:wrapTopAndBottom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fig7_a7_confi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6400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E1DD04B3">
      <w:pPr>
        <w:pStyle w:val="题注"/>
        <w:jc w:val="center"/>
      </w:pPr>
      <w:r>
        <w:t xml:space="preserve">图 </w:t>
      </w:r>
      <w:r>
        <w:fldChar w:fldCharType="begin" w:dirty="true"/>
      </w:r>
      <w:r>
        <w:instrText xml:space="preserve"> SEQ Figure \* ARABIC </w:instrText>
      </w:r>
      <w:r>
        <w:fldChar w:fldCharType="separate"/>
      </w:r>
      <w:r>
        <w:t>6</w:t>
      </w:r>
      <w:r>
        <w:fldChar w:fldCharType="end"/>
      </w:r>
      <w:r>
        <w:t xml:space="preserve"> A7 发射配置重构带来的端到端吞吐提升</w:t>
      </w:r>
    </w:p>
    <w:p w14:paraId="BD9C2D1A">
      <w:pPr>
        <w:pStyle w:val="二级标题"/>
      </w:pPr>
      <w:r>
        <w:t>5.3　自研 paged decode attention 内核（A20）</w:t>
      </w:r>
    </w:p>
    <w:p w14:paraId="E24A72F9">
      <w:r>
        <w:t>在 A7 之后，decode attention 仍是整步中最大且唯一未压到带宽下限的一项。把 stock kernel 逐段拆开（同一 harness，B=64／kv=4096／16q-2kv／d=128／block=16／bf16）可见：loads+QK 已跑到 509 GB/s，softmax 几乎免费，而 PV 的 tl.dot 独占 0.36 ms——它必须把 p 从 MMA 累加器布局转换为 A 操作数布局，每个 KV block 都要过一次共享内存往返。瓶颈是布局搬运，不是带宽。</w:t>
      </w:r>
    </w:p>
    <w:p w14:paraId="ABCB86FD">
      <w:r>
        <w:t>据此重写内核（算子位于 FlagGems fused/paged_decode_attention.py，插件侧为薄封装与派发）：一个 CTA＝1 warp＝一个（seq, kv_head, 段），使布局转换留在 warp 内；BLOCK_N=16，p tile 不超过一个 MMA 形状；base-2 在线 softmax，scale 预折 log2(e) 走 MUFU；主循环不加 mask，仅 ragged 尾部单独一个带 mask 的 block；段数固定、段长由 device 端 seq_lens 现算（CUDA-graph 安全），段缓存 slab 在 apply() 即捕获前一次性预分配；段边界按整页对齐，进一步消去逐 token 除模与向量页 gather。混合步中的 decode 行也通过 try_fast_decode 进入同一内核。</w:t>
      </w:r>
    </w:p>
    <w:p w14:paraId="D8360517">
      <w:pPr>
        <w:pStyle w:val="题注"/>
        <w:jc w:val="center"/>
      </w:pPr>
      <w:r>
        <w:drawing>
          <wp:anchor distT="72000" distB="72000" distL="72000" distR="720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680000" cy="2736000"/>
            <wp:wrapTopAndBottom/>
            <wp:docPr id="4" name="Picture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fig4_decode_b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3600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32D81F1E">
      <w:pPr>
        <w:pStyle w:val="题注"/>
        <w:jc w:val="center"/>
      </w:pPr>
      <w:r>
        <w:t xml:space="preserve">图 </w:t>
      </w:r>
      <w:r>
        <w:fldChar w:fldCharType="begin" w:dirty="true"/>
      </w:r>
      <w:r>
        <w:instrText xml:space="preserve"> SEQ Figure \* ARABIC </w:instrText>
      </w:r>
      <w:r>
        <w:fldChar w:fldCharType="separate"/>
      </w:r>
      <w:r>
        <w:t>4</w:t>
      </w:r>
      <w:r>
        <w:fldChar w:fldCharType="end"/>
      </w:r>
      <w:r>
        <w:t xml:space="preserve"> decode attention 有效带宽对比（kv=4096，B=64）</w:t>
      </w:r>
    </w:p>
    <w:p w14:paraId="D494562A">
      <w:pPr>
        <w:pStyle w:val="题注"/>
        <w:jc w:val="center"/>
      </w:pPr>
      <w:r>
        <w:drawing>
          <wp:anchor distT="72000" distB="72000" distL="72000" distR="720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220000" cy="2520000"/>
            <wp:wrapTopAndBottom/>
            <wp:docPr id="7" name="Picture 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fig6_decode_breakdow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2000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129D1B5A">
      <w:pPr>
        <w:pStyle w:val="题注"/>
        <w:jc w:val="center"/>
      </w:pPr>
      <w:r>
        <w:t xml:space="preserve">图 </w:t>
      </w:r>
      <w:r>
        <w:fldChar w:fldCharType="begin" w:dirty="true"/>
      </w:r>
      <w:r>
        <w:instrText xml:space="preserve"> SEQ Figure \* ARABIC </w:instrText>
      </w:r>
      <w:r>
        <w:fldChar w:fldCharType="separate"/>
      </w:r>
      <w:r>
        <w:t>7</w:t>
      </w:r>
      <w:r>
        <w:fldChar w:fldCharType="end"/>
      </w:r>
      <w:r>
        <w:t xml:space="preserve"> stock 3D decode 内核的耗时分解：瓶颈在 PV 的 MMA 布局转换</w:t>
      </w:r>
    </w:p>
    <w:p w14:paraId="84246546">
      <w:r>
        <w:t>内核级结果为 1.04 → 0.72 ms/层（ragged 长度下 0.90 → 0.66 ms），输出与 stock 的 max|diff| 为 2.4e-4（ragged 为 9.8e-4）。同日交错 A/B：4k 由 2239.43 提升至 2606.56 tok/s（+16.4%），16k 由 2956.59 提升至 3541.34 tok/s（+19.8%）。精度 MATH-500 Level 3 四次复核为 96.2%／97.1%／98.1%／97.1%，均达标。</w:t>
      </w:r>
    </w:p>
    <w:p w14:paraId="6D8833EF">
      <w:pPr>
        <w:pStyle w:val="题注"/>
        <w:jc w:val="center"/>
      </w:pPr>
      <w:r>
        <w:drawing>
          <wp:anchor distT="72000" distB="72000" distL="72000" distR="720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220000" cy="2736000"/>
            <wp:wrapTopAndBottom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fig5_iluvatar_a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3600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3A3BA122">
      <w:pPr>
        <w:pStyle w:val="题注"/>
        <w:jc w:val="center"/>
      </w:pPr>
      <w:r>
        <w:t xml:space="preserve">图 </w:t>
      </w:r>
      <w:r>
        <w:fldChar w:fldCharType="begin" w:dirty="true"/>
      </w:r>
      <w:r>
        <w:instrText xml:space="preserve"> SEQ Figure \* ARABIC </w:instrText>
      </w:r>
      <w:r>
        <w:fldChar w:fldCharType="separate"/>
      </w:r>
      <w:r>
        <w:t>5</w:t>
      </w:r>
      <w:r>
        <w:fldChar w:fldCharType="end"/>
      </w:r>
      <w:r>
        <w:t xml:space="preserve"> 天数 BI-V150：A20 同日交错 A/B 结果</w:t>
      </w:r>
    </w:p>
    <w:p w14:paraId="5C787F1F">
      <w:pPr>
        <w:pStyle w:val="二级标题"/>
      </w:pPr>
      <w:r>
        <w:t>5.4　可复现性与可审计性</w:t>
      </w:r>
    </w:p>
    <w:p w14:paraId="8EA3803D">
      <w:r>
        <w:t>内核每个（seq, kv_head, segment）只依赖自己的 q／KV 页与 seq_lens，段长只由该序列长度决定，因此同一序列的输出与批组成无关。FlagGems 侧配有 tests/test_paged_decode_attention.py：8 个精度用例对照 fp32 参考，外加一个批量不变性用例（单条／两条／半批／全批／逆序全批逐位相等，并重复同组成验证确定性），BI-V150 上 9 passed。混合步的 decode 切片每 4000 次调用输出一行 used/skipped 计数，16k 两次实测均为 used=44000、skipped=0，即 100% 命中自研内核，不存在隐式退回 stock 的情况。</w:t>
      </w:r>
    </w:p>
    <w:p w14:paraId="F4432DD4">
      <w:pPr>
        <w:pStyle w:val="一级标题"/>
      </w:pPr>
      <w:r>
        <w:t>6　主要创新点</w:t>
      </w:r>
    </w:p>
    <w:p w14:paraId="BB4EA3B6">
      <w:r>
        <w:t>（1）跨双平台的 shape-aware dispatch 统一框架。同一套“离线全空间扫描＋派发层按 shape 选择实现/配置”的方法论落在两种国产芯片上，覆盖 GEMM、attention、采样三类算子，且有赛题组明确的合规口径；本报告同时给出该框架的适用边界（见第 7 节 A26）。</w:t>
      </w:r>
    </w:p>
    <w:p w14:paraId="A98D8B9A">
      <w:r>
        <w:t>（2）免排序 top-p 采样。1024-bin 质量直方图 zoom 替代全词表排序，保留集质量恒不小于 p·Z，是有下界保证的确定性构造而非近似猜阈值；双平台复用，采样链约 40 倍提速。</w:t>
      </w:r>
    </w:p>
    <w:p w14:paraId="B083927C">
      <w:r>
        <w:t>（3）发射数削减范式。dual-gather 利用 kv_cache 页内 K/V 连续布局一次完成收集，配合 varlen out= 直写，把 prefill attention 的 host 开销从每请求 4 次发射降到 2 次，全部经 bit-exact 探针验证。</w:t>
      </w:r>
    </w:p>
    <w:p w14:paraId="3E828621">
      <w:r>
        <w:t>（4）配置维度的系统性诊断。指出 NVIDIA 默认启发式（w4s3）与 libtuner 在 event-timing 降级模式下于国产芯片上的失配根因，仅这一项即带来 4k/16k 各约 40% 的端到端收益。</w:t>
      </w:r>
    </w:p>
    <w:p w14:paraId="252D7F76">
      <w:r>
        <w:t>（5）自研 decode attention 内核。不是泛泛地“重写 flash attention”，而是先把 stock kernel 逐段拆开，定位到 PV 的 MMA 累加器布局转换这一具体瓶颈，再用单 warp、小 tile、base-2 softmax、尾部 mask 与页对齐分段逐项消除，使 decode attention 带宽由 258 GB/s 提升到 372 GB/s；并用“跳过 attention 的探针”量出该方向的硬件下限（19.3 ms/步）。</w:t>
      </w:r>
    </w:p>
    <w:p w14:paraId="A71EC1F8">
      <w:r>
        <w:t>（6）零精度妥协与可复核闭环。所有性能改动要么 bit-exact，要么统计等价且通过 MATH-500 Level 3 实测；每个候选都有当日交错 A/B、原始 CSV、机器状态与回退开关，未通过 3% 准入或精度门槛的一律不进入提交。</w:t>
      </w:r>
    </w:p>
    <w:p w14:paraId="22D52A4D">
      <w:pPr>
        <w:pStyle w:val="一级标题"/>
      </w:pPr>
      <w:r>
        <w:t>7　阴性结果与探索覆盖度</w:t>
      </w:r>
    </w:p>
    <w:p w14:paraId="9E57A335">
      <w:r>
        <w:t>下列方案均经过实测后被否决，未进入提交代码。保留它们是为了说明探索的边界，也便于评审复核“为什么停在这里”。</w:t>
      </w:r>
    </w:p>
    <w:p w14:paraId="2D5EAA85">
      <w:pPr>
        <w:pStyle w:val="题注"/>
        <w:jc w:val="center"/>
      </w:pPr>
      <w:r>
        <w:t xml:space="preserve">表 </w:t>
      </w:r>
      <w:r>
        <w:fldChar w:fldCharType="begin" w:dirty="true"/>
      </w:r>
      <w:r>
        <w:instrText xml:space="preserve"> SEQ Table \* ARABIC </w:instrText>
      </w:r>
      <w:r>
        <w:fldChar w:fldCharType="separate"/>
      </w:r>
      <w:r>
        <w:t>3</w:t>
      </w:r>
      <w:r>
        <w:fldChar w:fldCharType="end"/>
      </w:r>
      <w:r>
        <w:t xml:space="preserve"> 主要被否决方案及其证据</w:t>
      </w:r>
    </w:p>
    <w:tbl>
      <w:tblPr>
        <w:tblStyle w:val="正式表格"/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8DB3D1"/>
          <w:bottom w:val="single" w:sz="6" w:space="0" w:color="8DB3D1"/>
          <w:left w:val="single" w:sz="6" w:space="0" w:color="8DB3D1"/>
          <w:right w:val="single" w:sz="6" w:space="0" w:color="8DB3D1"/>
          <w:insideH w:val="single" w:sz="4" w:space="0" w:color="D5E3F0"/>
          <w:insideV w:val="single" w:sz="4" w:space="0" w:color="D5E3F0"/>
        </w:tblBorders>
      </w:tblPr>
      <w:tblGrid>
        <w:gridCol w:w="2948"/>
        <w:gridCol w:w="2948"/>
        <w:gridCol w:w="2948"/>
      </w:tblGrid>
      <w:tr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1F4E79"/>
            <w:tcBorders>
              <w:bottom w:val="single" w:sz="8" w:space="0" w:color="1F4E79"/>
            </w:tcBorders>
          </w:tcPr>
          <w:p w14:paraId="96131DC9">
            <w:pPr>
              <w:spacing w:before="0" w:after="0"/>
              <w:ind w:firstLine="0" w:left="0" w:right="0" w:firstLineChars="0"/>
              <w:jc w:val="center"/>
            </w:pPr>
            <w:r>
              <w:rPr>
                <w:b/>
                <w:color w:val="FFFFFF"/>
                <w:sz w:val="22"/>
              </w:rPr>
              <w:t>方案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1F4E79"/>
            <w:tcBorders>
              <w:bottom w:val="single" w:sz="8" w:space="0" w:color="1F4E79"/>
            </w:tcBorders>
          </w:tcPr>
          <w:p w14:paraId="85549629">
            <w:pPr>
              <w:spacing w:before="0" w:after="0"/>
              <w:ind w:firstLine="0" w:left="0" w:right="0" w:firstLineChars="0"/>
              <w:jc w:val="center"/>
            </w:pPr>
            <w:r>
              <w:rPr>
                <w:b/>
                <w:color w:val="FFFFFF"/>
                <w:sz w:val="22"/>
              </w:rPr>
              <w:t>隔离/理论收益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1F4E79"/>
            <w:tcBorders>
              <w:bottom w:val="single" w:sz="8" w:space="0" w:color="1F4E79"/>
            </w:tcBorders>
          </w:tcPr>
          <w:p w14:paraId="33BA81D0">
            <w:pPr>
              <w:spacing w:before="0" w:after="0"/>
              <w:ind w:firstLine="0" w:left="0" w:right="0" w:firstLineChars="0"/>
              <w:jc w:val="center"/>
            </w:pPr>
            <w:r>
              <w:rPr>
                <w:b/>
                <w:color w:val="FFFFFF"/>
                <w:sz w:val="22"/>
              </w:rPr>
              <w:t>端到端结果与结论</w:t>
            </w:r>
          </w:p>
        </w:tc>
        <w:trPr>
          <w:tblHeader w:val="true"/>
          <w:cantSplit w:val="true"/>
        </w:trPr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15C6C7EB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A2：自研 Triton flash-decoding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BC5E508A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与 stock 打平（默认配置）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EF14FB0E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转投配置维度，由 A7 获益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DE258A90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opt9：C500 attention 内核选择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E105C4B9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全空间扫描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1A319A4C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已达 vendor 上限，无可优化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8D8D06B1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A8a：decode host 壳子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0F2E0D3E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—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4C01CBD0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收益 &lt;1%，混合步占比低且 GPU-bound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A8F51D46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A8b：lm_head GEMM 48 组配置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E80EDDBB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—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B72821E6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aten vendor 已贴带宽墙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AB2D36A2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A9：n-gram 投机采样探针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15ADBF8B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draft 质量看似可用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B2B688D2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75% 请求零命中，期望收益 &lt;10%，否决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4805F75D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A20-int8 KV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2C6CC137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期望降低 KV 带宽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E7E3C11C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只加载就 1.06 ms/层 vs bf16 0.72，1 字节 gather 吞吐仅 2 字节的 1/3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7F6D4D88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A20-paged prefill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7B24F9B6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期望省反分页 gather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48EE7CC9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gather 仅占 prefill GPU 时间约 1.5%，且 API 不兼容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536FBD62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A21：IR 级 RMSNorm 融合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48719FD4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隔离 2.5–7.2×，逐位一致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02A8BFB8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引擎内 −5.9%、TTFT 翻倍；IR 被 inline 后失去相邻融合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CB26F7B4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A22／A27：W8 权重量化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3594F533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修正实现后隔离 1.82×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6C4761D9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引擎内 −19%（4k 2080 vs 2571），TTFT 恶化 4.4 倍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98D53388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A23／A24：aten::index 退化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6E03225C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同形状 index_select 快 13000 倍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F97C567E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属隐式同步点；修复后投机混合步仍饥饿，不采用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E52A01B2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A25：_build_split 的 81 ms/步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2AF93899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该项 81.4 → 0.3 ms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1F579933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官方 4k 仅 +0.85%，属等待而非浪费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20577B5C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A26：shape-aware NSEG 分派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43845679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小 batch 有 3–7.4%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E3BB8102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官方 c64 下 NSEG=32 已最优、带宽 88%，收益上限 1.4%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EDA302AA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C500 num_splits 调优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EDA197FF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微基准 3 倍差异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C70F13C1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冷缓存实测 10894／10953 vs 基线 11104，无收益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70D6D2D1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图内 CUDA event 计时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BC786399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—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48313996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invalid resource handle，本栈不支持</w:t>
            </w:r>
          </w:p>
        </w:tc>
      </w:tr>
    </w:tbl>
    <w:p w14:paraId="B7F986C8">
      <w:r>
        <w:t>其中 A22／A27 值得单独说明：最初以 0.77× 否决 W8，是因为量化被拆成 abs／max／float／quant 四个 launch，且基线误用了不含 SwiGLU 的裸 GEMM。修正为单核 per-token 量化加融合 dequant-silu 后，隔离测量确为 1.82×；但接入真实引擎后端到端 −19%。这说明在本卡上，微基准只能用于筛掉明显更差的设计，不能用于预测端到端收益——同一层连调百次的“热权重”与 42 层轮转的“冷权重”是两种工况。</w:t>
      </w:r>
    </w:p>
    <w:p w14:paraId="49E7E970">
      <w:pPr>
        <w:pStyle w:val="一级标题"/>
      </w:pPr>
      <w:r>
        <w:t>8　合规对照与复现指南</w:t>
      </w:r>
    </w:p>
    <w:p w14:paraId="242B8AD2">
      <w:pPr>
        <w:pStyle w:val="二级标题"/>
      </w:pPr>
      <w:r>
        <w:t>8.1　合规对照</w:t>
      </w:r>
    </w:p>
    <w:p w14:paraId="FB2AD235">
      <w:pPr>
        <w:pStyle w:val="题注"/>
        <w:jc w:val="center"/>
      </w:pPr>
      <w:r>
        <w:t xml:space="preserve">表 </w:t>
      </w:r>
      <w:r>
        <w:fldChar w:fldCharType="begin" w:dirty="true"/>
      </w:r>
      <w:r>
        <w:instrText xml:space="preserve"> SEQ Table \* ARABIC </w:instrText>
      </w:r>
      <w:r>
        <w:fldChar w:fldCharType="separate"/>
      </w:r>
      <w:r>
        <w:t>4</w:t>
      </w:r>
      <w:r>
        <w:fldChar w:fldCharType="end"/>
      </w:r>
      <w:r>
        <w:t xml:space="preserve"> 赛题约束与本提交做法</w:t>
      </w:r>
    </w:p>
    <w:tbl>
      <w:tblPr>
        <w:tblStyle w:val="正式表格"/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8DB3D1"/>
          <w:bottom w:val="single" w:sz="6" w:space="0" w:color="8DB3D1"/>
          <w:left w:val="single" w:sz="6" w:space="0" w:color="8DB3D1"/>
          <w:right w:val="single" w:sz="6" w:space="0" w:color="8DB3D1"/>
          <w:insideH w:val="single" w:sz="4" w:space="0" w:color="D5E3F0"/>
          <w:insideV w:val="single" w:sz="4" w:space="0" w:color="D5E3F0"/>
        </w:tblBorders>
      </w:tblPr>
      <w:tblGrid>
        <w:gridCol w:w="4422"/>
        <w:gridCol w:w="4422"/>
      </w:tblGrid>
      <w:tr>
        <w:tc>
          <w:tcPr>
            <w:tcW w:type="dxa" w:w="4422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1F4E79"/>
            <w:tcBorders>
              <w:bottom w:val="single" w:sz="8" w:space="0" w:color="1F4E79"/>
            </w:tcBorders>
          </w:tcPr>
          <w:p w14:paraId="D9CB08E5">
            <w:pPr>
              <w:spacing w:before="0" w:after="0"/>
              <w:ind w:firstLine="0" w:left="0" w:right="0" w:firstLineChars="0"/>
              <w:jc w:val="center"/>
            </w:pPr>
            <w:r>
              <w:rPr>
                <w:b/>
                <w:color w:val="FFFFFF"/>
                <w:sz w:val="22"/>
              </w:rPr>
              <w:t>约束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1F4E79"/>
            <w:tcBorders>
              <w:bottom w:val="single" w:sz="8" w:space="0" w:color="1F4E79"/>
            </w:tcBorders>
          </w:tcPr>
          <w:p w14:paraId="78E70809">
            <w:pPr>
              <w:spacing w:before="0" w:after="0"/>
              <w:ind w:firstLine="0" w:left="0" w:right="0" w:firstLineChars="0"/>
              <w:jc w:val="center"/>
            </w:pPr>
            <w:r>
              <w:rPr>
                <w:b/>
                <w:color w:val="FFFFFF"/>
                <w:sz w:val="22"/>
              </w:rPr>
              <w:t>本提交做法</w:t>
            </w:r>
          </w:p>
        </w:tc>
        <w:trPr>
          <w:tblHeader w:val="true"/>
          <w:cantSplit w:val="true"/>
        </w:trPr>
      </w:tr>
      <w:tr>
        <w:tc>
          <w:tcPr>
            <w:tcW w:type="dxa" w:w="4422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53D5C05C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vllm serve 参数与基线一致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33D61E58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两张卡均按官网原命令启动，未增删任何参数；C500 不额外添加 --compilation-config</w:t>
            </w:r>
          </w:p>
        </w:tc>
      </w:tr>
      <w:tr>
        <w:tc>
          <w:tcPr>
            <w:tcW w:type="dxa" w:w="4422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84EB1314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禁止 benchmark 脚本调优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3011691C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一律使用官方脚本与官方聚合口径，未修改脚本</w:t>
            </w:r>
          </w:p>
        </w:tc>
      </w:tr>
      <w:tr>
        <w:tc>
          <w:tcPr>
            <w:tcW w:type="dxa" w:w="4422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4105A4F2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禁止直接 merge 上游分支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70D4FCA2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基线为 flagos-2026-s2 与 FlagGems v5.3.5，全部改动以补丁形式叠加</w:t>
            </w:r>
          </w:p>
        </w:tc>
      </w:tr>
      <w:tr>
        <w:tc>
          <w:tcPr>
            <w:tcW w:type="dxa" w:w="4422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CED05E73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算子优化须有开发量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9E74F379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新增 Triton 内核（paged decode attention、采样链、dual-gather）与路由/同步改造，均可独立 A/B</w:t>
            </w:r>
          </w:p>
        </w:tc>
      </w:tr>
      <w:tr>
        <w:tc>
          <w:tcPr>
            <w:tcW w:type="dxa" w:w="4422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3EAD3528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禁止改超参开启量化、投机采样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8DE67304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W8 权重量化与 n-gram 投机均在评估后未采用，未进入提交</w:t>
            </w:r>
          </w:p>
        </w:tc>
      </w:tr>
      <w:tr>
        <w:tc>
          <w:tcPr>
            <w:tcW w:type="dxa" w:w="4422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64E6DB0E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精度 ≥ 0.95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AF2F8"/>
          </w:tcPr>
          <w:p w14:paraId="81B0E368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MATH-500 Level 3：C500 97.14%–98.1%，BI-V150 96.2%–98.1%</w:t>
            </w:r>
          </w:p>
        </w:tc>
      </w:tr>
      <w:tr>
        <w:tc>
          <w:tcPr>
            <w:tcW w:type="dxa" w:w="4422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950B120A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TTFT 不回退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FFFFFF"/>
          </w:tcPr>
          <w:p w14:paraId="87104ACB">
            <w:pPr>
              <w:spacing w:before="0" w:after="0"/>
              <w:ind w:firstLine="0" w:left="0" w:right="0" w:firstLineChars="0"/>
              <w:jc w:val="center"/>
            </w:pPr>
            <w:r>
              <w:rPr>
                <w:color w:val="1F2933"/>
                <w:sz w:val="22"/>
              </w:rPr>
              <w:t>各场景 TTFT 均优于基线；16k C500 由 27197 ms 降至 17902 ms</w:t>
            </w:r>
          </w:p>
        </w:tc>
      </w:tr>
    </w:tbl>
    <w:p w14:paraId="472F559C">
      <w:pPr>
        <w:pStyle w:val="二级标题"/>
      </w:pPr>
      <w:r>
        <w:t>8.2　复现步骤</w:t>
      </w:r>
    </w:p>
    <w:p w14:paraId="3B54C876">
      <w:r>
        <w:t>安装：在两个源码目录分别执行 pip install -e . --no-build-isolation。C500 还需 export PATH=/opt/conda/bin:$PATH、MACA_PATH=/opt/maca、MACA_HOME=/opt/maca、LD_LIBRARY_PATH=/opt/maca/lib:/opt/maca/lib64，并设 VLLM_PLUGINS=fl。</w:t>
      </w:r>
    </w:p>
    <w:p w14:paraId="C9E10D9E">
      <w:r>
        <w:t>启动：天数在官方命令后加 --compilation-config '{"cudagraph_mode": "FULL_DECODE_ONLY"}‘；C500 仅使用官方命令，不添加该项。性能评测执行 benchmarks/benchmark_throughput_serve.py 并传 --test-cases’[[4096,1024,64,256],[16384,1024,64,128]]'；精度评测执行官网给出的 evalscope 命令，结果见 reports/minicpm/math_500.json 的 score 字段。</w:t>
      </w:r>
    </w:p>
    <w:p w14:paraId="8B0A680C">
      <w:pPr>
        <w:pStyle w:val="二级标题"/>
      </w:pPr>
      <w:r>
        <w:t>8.3　复现注意事项</w:t>
      </w:r>
    </w:p>
    <w:p w14:paraId="FCDEE8CE">
      <w:r>
        <w:t>（1）防止 prefix cache 污染：benchmark 使用 seed=0，同一 serve 上连跑两次相同 input_len 的负载会产生完全相同的 prompt，第二次会大量命中 prefix cache（本队日志出现过 35.9% 命中率），使 prefill 近乎免费、总吞吐虚高 30% 以上。每个数据点都应在新启动的 serve 上获取，A/B 两侧均从冷缓存开始。</w:t>
      </w:r>
    </w:p>
    <w:p w14:paraId="FD0DBD0C">
      <w:r>
        <w:t>（2）C500 需要 ≥128 GB CPU 内存：在模力方舟 64 GB 内存规格实例上，纯镜像原版 vllm serve 也会在 inductor 编译阶段被 cgroup OOM killer 杀掉（匿名内存峰值 63.4 GB，被杀时 GPU 显存仅 858 MiB，与显存、负载、代码改动均无关）。128 GB 规格实例全程稳定。</w:t>
      </w:r>
    </w:p>
    <w:p w14:paraId="0DD7C060">
      <w:r>
        <w:t>（3）首次启动耗时：C500 需执行 GEMM autotune 预热，实测两台实例分别为 367 秒与 973 秒；第二次启动（triton cache 已存在）约 1–3 分钟。此为正常现象，不是卡死；如确需跳过可设 VLLM_FL_MM_WARMUP=0，但 4k 吞吐约 −6%、TTFT 变差。</w:t>
      </w:r>
    </w:p>
    <w:p w14:paraId="C05F3184">
      <w:r>
        <w:t>（4）实例间差异：两台 C500 实例的 4k 吞吐相差 4%、TTFT 相差 66%，16k 几乎一致。报告因此以区间给数，不以单台最优值充当普遍成绩。</w:t>
      </w:r>
    </w:p>
    <w:p w14:paraId="DD983813">
      <w:pPr>
        <w:pStyle w:val="一级标题"/>
      </w:pPr>
      <w:r>
        <w:t>附录　代码与实验记录索引</w:t>
      </w:r>
    </w:p>
    <w:p w14:paraId="BC73B39A">
      <w:r>
        <w:t>代码分支：vllm-plugin-FL/dev（C500 opt1–opt11，至 f4971e7e）；vllm-plugin-FL/iluvatar-vendor-fa（天数 A1–A7）与 A20 自研 decode 内核及混合步 hook；FlagGems/dev（采样融合内核、GEMM pin、paged_decode_attention，至 5eac6b39）。以上分支均推送至 github.com/xy200303/minicpm-flagserve。</w:t>
      </w:r>
    </w:p>
    <w:p w14:paraId="81DF6B17">
      <w:r>
        <w:t>实验记录：docs/baselines/metax-c500/（C500 基线与 opt1–opt11 逐项记录、2026-10-23/24 复核与验证）、docs/baselines/iluvatar-biv150/（天数 A1–A9 记录）、docs/experiments/（A10–A27 的探针、台账 tracking.md、runs/ 原始数据与证据）。所有候选方案的配置、serve 日志、benchmark CSV、机器状态与结论均可按目录复核。</w:t>
      </w:r>
    </w:p>
    <w:p w14:paraId="68E07F94">
      <w:pPr>
        <w:pStyle w:val="一级标题"/>
      </w:pPr>
      <w:r>
        <w:t>附录 B　内核形状扫描与测量可靠性</w:t>
      </w:r>
    </w:p>
    <w:p w14:paraId="D2310EC6">
      <w:r>
        <w:t>本附录给出两类支撑材料：其一为 paged decode attention 内核在 NSEG × 并发度上的实测分布（来源：docs/experiments/a26/a26_sweep.log，20 次重复取均值）；其二为官方 benchmark 连续 4 次 run 的吞吐波动（来源：docs/baselines/metax-c500/raw_runs_baseline.csv）。前者说明当前配置为何是甜点，后者说明测量口径的离散程度。</w:t>
      </w:r>
    </w:p>
    <w:p w14:paraId="4B6AE044">
      <w:pPr>
        <w:pStyle w:val="题注"/>
        <w:jc w:val="center"/>
      </w:pPr>
      <w:r>
        <w:drawing>
          <wp:anchor distT="72000" distB="72000" distL="72000" distR="720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220000" cy="3096000"/>
            <wp:wrapTopAndBottom/>
            <wp:docPr id="15" name="Picture 1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9600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9F93FF5D">
      <w:pPr>
        <w:pStyle w:val="题注"/>
        <w:jc w:val="center"/>
      </w:pPr>
      <w:r>
        <w:t xml:space="preserve">图 </w:t>
      </w:r>
      <w:r>
        <w:fldChar w:fldCharType="begin" w:dirty="true"/>
      </w:r>
      <w:r>
        <w:instrText xml:space="preserve"> SEQ Figure \* ARABIC </w:instrText>
      </w:r>
      <w:r>
        <w:fldChar w:fldCharType="separate"/>
      </w:r>
      <w:r>
        <w:t>15</w:t>
      </w:r>
      <w:r>
        <w:fldChar w:fldCharType="end"/>
      </w:r>
      <w:r>
        <w:t xml:space="preserve"> NSEG × 并发度的耗时分布（kv=16384，ms/层）</w:t>
      </w:r>
    </w:p>
    <w:p w14:paraId="48D528DE">
      <w:pPr>
        <w:pStyle w:val="题注"/>
        <w:jc w:val="center"/>
      </w:pPr>
      <w:r>
        <w:drawing>
          <wp:anchor distT="72000" distB="72000" distL="72000" distR="720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220000" cy="3096000"/>
            <wp:wrapTopAndBottom/>
            <wp:docPr id="16" name="Picture 1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9600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6B9D4436">
      <w:pPr>
        <w:pStyle w:val="题注"/>
        <w:jc w:val="center"/>
      </w:pPr>
      <w:r>
        <w:t xml:space="preserve">图 </w:t>
      </w:r>
      <w:r>
        <w:fldChar w:fldCharType="begin" w:dirty="true"/>
      </w:r>
      <w:r>
        <w:instrText xml:space="preserve"> SEQ Figure \* ARABIC </w:instrText>
      </w:r>
      <w:r>
        <w:fldChar w:fldCharType="separate"/>
      </w:r>
      <w:r>
        <w:t>16</w:t>
      </w:r>
      <w:r>
        <w:fldChar w:fldCharType="end"/>
      </w:r>
      <w:r>
        <w:t xml:space="preserve"> NSEG × 并发度的有效带宽分布（kv=16384，GB/s）</w:t>
      </w:r>
    </w:p>
    <w:p w14:paraId="1FEDBBE4">
      <w:pPr>
        <w:pStyle w:val="题注"/>
        <w:jc w:val="center"/>
      </w:pPr>
      <w:r>
        <w:drawing>
          <wp:anchor distT="72000" distB="72000" distL="72000" distR="720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220000" cy="3096000"/>
            <wp:wrapTopAndBottom/>
            <wp:docPr id="17" name="Picture 1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9600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829AD393">
      <w:pPr>
        <w:pStyle w:val="题注"/>
        <w:jc w:val="center"/>
      </w:pPr>
      <w:r>
        <w:t xml:space="preserve">图 </w:t>
      </w:r>
      <w:r>
        <w:fldChar w:fldCharType="begin" w:dirty="true"/>
      </w:r>
      <w:r>
        <w:instrText xml:space="preserve"> SEQ Figure \* ARABIC </w:instrText>
      </w:r>
      <w:r>
        <w:fldChar w:fldCharType="separate"/>
      </w:r>
      <w:r>
        <w:t>17</w:t>
      </w:r>
      <w:r>
        <w:fldChar w:fldCharType="end"/>
      </w:r>
      <w:r>
        <w:t xml:space="preserve"> NSEG × 并发度的耗时分布（kv=4096，ms/层）</w:t>
      </w:r>
    </w:p>
    <w:p w14:paraId="2D23029E">
      <w:r>
        <w:t>三张热力图显示：在官方 c64 形状下，NSEG=32 恰为带宽最优点（515 GB/s，约为该卡理论带宽的 88%），继续增大 NSEG 反而因归并开销退化；小 batch 虽可通过调整 NSEG 获得 3%–7.4% 的收益，但官方两个用例均为 c64，因此未实现 shape-aware 分派（对应第 7 节 A26）。</w:t>
      </w:r>
    </w:p>
    <w:p w14:paraId="CA5DB661">
      <w:pPr>
        <w:pStyle w:val="题注"/>
        <w:jc w:val="center"/>
      </w:pPr>
      <w:r>
        <w:drawing>
          <wp:anchor distT="72000" distB="72000" distL="72000" distR="720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400000" cy="2808000"/>
            <wp:wrapTopAndBottom/>
            <wp:docPr id="13" name="Picture 1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fig12_decode_evolu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800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5B321793">
      <w:pPr>
        <w:pStyle w:val="题注"/>
        <w:jc w:val="center"/>
      </w:pPr>
      <w:r>
        <w:t xml:space="preserve">图 </w:t>
      </w:r>
      <w:r>
        <w:fldChar w:fldCharType="begin" w:dirty="true"/>
      </w:r>
      <w:r>
        <w:instrText xml:space="preserve"> SEQ Figure \* ARABIC </w:instrText>
      </w:r>
      <w:r>
        <w:fldChar w:fldCharType="separate"/>
      </w:r>
      <w:r>
        <w:t>13</w:t>
      </w:r>
      <w:r>
        <w:fldChar w:fldCharType="end"/>
      </w:r>
      <w:r>
        <w:t xml:space="preserve"> decode attention 从 stock 到自研内核的带宽演进</w:t>
      </w:r>
    </w:p>
    <w:p w14:paraId="A797A638">
      <w:pPr>
        <w:pStyle w:val="题注"/>
        <w:jc w:val="center"/>
      </w:pPr>
      <w:r>
        <w:drawing>
          <wp:anchor distT="72000" distB="72000" distL="72000" distR="720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400000" cy="2520000"/>
            <wp:wrapTopAndBottom/>
            <wp:docPr id="14" name="Picture 1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fig13_run_varian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2000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7CDA4B9D">
      <w:pPr>
        <w:pStyle w:val="题注"/>
        <w:jc w:val="center"/>
      </w:pPr>
      <w:r>
        <w:t xml:space="preserve">图 </w:t>
      </w:r>
      <w:r>
        <w:fldChar w:fldCharType="begin" w:dirty="true"/>
      </w:r>
      <w:r>
        <w:instrText xml:space="preserve"> SEQ Figure \* ARABIC </w:instrText>
      </w:r>
      <w:r>
        <w:fldChar w:fldCharType="separate"/>
      </w:r>
      <w:r>
        <w:t>14</w:t>
      </w:r>
      <w:r>
        <w:fldChar w:fldCharType="end"/>
      </w:r>
      <w:r>
        <w:t xml:space="preserve"> 官方 benchmark 连续 4 次 run 的吞吐波动：4k 需取均值，16k 极稳</w:t>
      </w:r>
    </w:p>
    <w:p w14:paraId="D54E0CA5">
      <w:pPr>
        <w:pStyle w:val="题注"/>
        <w:jc w:val="center"/>
      </w:pPr>
      <w:r>
        <w:t xml:space="preserve">图 </w:t>
      </w:r>
      <w:r>
        <w:fldChar w:fldCharType="begin" w:dirty="true"/>
      </w:r>
      <w:r>
        <w:instrText xml:space="preserve"> SEQ Figure \* ARABIC </w:instrText>
      </w:r>
      <w:r>
        <w:fldChar w:fldCharType="separate"/>
      </w:r>
      <w:r>
        <w:t>15</w:t>
      </w:r>
      <w:r>
        <w:fldChar w:fldCharType="end"/>
      </w:r>
      <w:r>
        <w:t xml:space="preserve"> NSEG × 并发度的耗时分布（kv=16384，ms/层）</w:t>
      </w:r>
    </w:p>
    <w:p w14:paraId="A811C77F">
      <w:pPr>
        <w:pStyle w:val="题注"/>
        <w:jc w:val="center"/>
      </w:pPr>
      <w:r>
        <w:t xml:space="preserve">图 </w:t>
      </w:r>
      <w:r>
        <w:fldChar w:fldCharType="begin" w:dirty="true"/>
      </w:r>
      <w:r>
        <w:instrText xml:space="preserve"> SEQ Figure \* ARABIC </w:instrText>
      </w:r>
      <w:r>
        <w:fldChar w:fldCharType="separate"/>
      </w:r>
      <w:r>
        <w:t>16</w:t>
      </w:r>
      <w:r>
        <w:fldChar w:fldCharType="end"/>
      </w:r>
      <w:r>
        <w:t xml:space="preserve"> NSEG × 并发度的有效带宽分布（kv=16384，GB/s）</w:t>
      </w:r>
    </w:p>
    <w:p w14:paraId="2FDB2EE8">
      <w:pPr>
        <w:pStyle w:val="题注"/>
        <w:jc w:val="center"/>
      </w:pPr>
      <w:r>
        <w:t xml:space="preserve">图 </w:t>
      </w:r>
      <w:r>
        <w:fldChar w:fldCharType="begin" w:dirty="true"/>
      </w:r>
      <w:r>
        <w:instrText xml:space="preserve"> SEQ Figure \* ARABIC </w:instrText>
      </w:r>
      <w:r>
        <w:fldChar w:fldCharType="separate"/>
      </w:r>
      <w:r>
        <w:t>17</w:t>
      </w:r>
      <w:r>
        <w:fldChar w:fldCharType="end"/>
      </w:r>
      <w:r>
        <w:t xml:space="preserve"> NSEG × 并发度的耗时分布（kv=4096，ms/层）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98" w:right="1474" w:bottom="1984" w:left="1587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页脚"/>
      <w:spacing w:before="0" w:after="0" w:line="240" w:lineRule="exact"/>
      <w:ind w:firstLine="0" w:left="0" w:right="0"/>
      <w:jc w:val="center"/>
    </w:pPr>
    <w:r>
      <w:rPr>
        <w:rFonts w:ascii="Times New Roman" w:hAnsi="Times New Roman" w:cs="Times New Roman" w:eastAsia="宋体"/>
        <w:color w:val="000000"/>
        <w:sz w:val="18"/>
      </w:rPr>
      <w:t xml:space="preserve">— </w:t>
    </w:r>
    <w:r>
      <w:rPr>
        <w:rFonts w:ascii="Times New Roman" w:hAnsi="Times New Roman" w:cs="Times New Roman" w:eastAsia="宋体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cs="Times New Roman" w:eastAsia="宋体"/>
        <w:color w:val="00000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页眉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Vars>
    <w:docVar w:name="wordpen_plan" w:val="2dcdcbf9641535961659b5cae0ab110f1ea31f919f22817b039b48136885cfed"/>
  </w:docVars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400" w:lineRule="exact"/>
      <w:ind w:firstLineChars="200" w:left="0"/>
      <w:jc w:val="both"/>
    </w:pPr>
    <w:rPr>
      <w:rFonts w:ascii="Times New Roman" w:hAnsi="Times New Roman" w:cs="Times New Roman" w:eastAsia="宋体"/>
      <w:b w:val="0"/>
      <w:i w:val="0"/>
      <w:color w:val="000000"/>
      <w:sz w:val="24"/>
      <w:u w:val="none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00" w:after="120" w:line="400" w:lineRule="exact"/>
      <w:ind w:left="0"/>
      <w:jc w:val="left"/>
      <w:outlineLvl w:val="0"/>
    </w:pPr>
    <w:rPr>
      <w:rFonts w:ascii="Times New Roman" w:hAnsi="Times New Roman" w:cs="Times New Roman" w:eastAsia="黑体"/>
      <w:b/>
      <w:bCs/>
      <w:i w:val="0"/>
      <w:color w:val="000000"/>
      <w:sz w:val="32"/>
      <w:u w:val="none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400" w:lineRule="exact"/>
      <w:ind w:left="0"/>
      <w:jc w:val="left"/>
      <w:outlineLvl w:val="1"/>
      <w:pBdr>
        <w:bottom w:val="single" w:sz="6" w:space="3" w:color="D9E2F3"/>
      </w:pBdr>
    </w:pPr>
    <w:rPr>
      <w:rFonts w:ascii="Times New Roman" w:hAnsi="Times New Roman" w:cs="Times New Roman" w:eastAsia="黑体"/>
      <w:b/>
      <w:bCs/>
      <w:i w:val="0"/>
      <w:color w:val="000000"/>
      <w:sz w:val="28"/>
      <w:u w:val="none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40" w:line="400" w:lineRule="exact"/>
      <w:ind w:left="0"/>
      <w:jc w:val="left"/>
      <w:outlineLvl w:val="2"/>
    </w:pPr>
    <w:rPr>
      <w:rFonts w:ascii="Times New Roman" w:hAnsi="Times New Roman" w:cs="Times New Roman" w:eastAsia="宋体"/>
      <w:b/>
      <w:bCs/>
      <w:i w:val="0"/>
      <w:color w:val="000000"/>
      <w:sz w:val="24"/>
      <w:u w:val="none"/>
      <w:lang w:val="en-US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0" w:after="0" w:line="400" w:lineRule="exact"/>
      <w:ind w:left="0"/>
      <w:jc w:val="left"/>
      <w:outlineLvl w:val="3"/>
    </w:pPr>
    <w:rPr>
      <w:rFonts w:ascii="Times New Roman" w:hAnsi="Times New Roman" w:cs="Times New Roman" w:eastAsia="宋体"/>
      <w:b w:val="0"/>
      <w:bCs/>
      <w:i w:val="0"/>
      <w:color w:val="000000"/>
      <w:sz w:val="24"/>
      <w:u w:val="none"/>
      <w:lang w:val="en-US"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i w:val="0"/>
      <w:color w:val="000000"/>
      <w:sz w:val="32"/>
      <w:u w:val="none"/>
      <w:lang w:val="en-US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i w:val="0"/>
      <w:color w:val="000000"/>
      <w:sz w:val="28"/>
      <w:u w:val="none"/>
      <w:lang w:val="en-US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宋体"/>
      <w:b/>
      <w:bCs/>
      <w:i w:val="0"/>
      <w:color w:val="000000"/>
      <w:sz w:val="24"/>
      <w:u w:val="none"/>
      <w:lang w:val="en-US"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widowControl/>
      <w:pBdr>
        <w:bottom w:val="single" w:sz="10" w:space="8" w:color="9FBAD0"/>
      </w:pBdr>
      <w:spacing w:after="580" w:line="660" w:lineRule="exact" w:before="360"/>
      <w:ind w:left="0" w:firstLineChars="0"/>
      <w:contextualSpacing/>
      <w:jc w:val="center"/>
    </w:pPr>
    <w:rPr>
      <w:rFonts w:ascii="Times New Roman" w:hAnsi="Times New Roman" w:cs="Times New Roman" w:eastAsia="黑体"/>
      <w:b/>
      <w:i w:val="0"/>
      <w:color w:val="000000"/>
      <w:sz w:val="44"/>
      <w:u w:val="none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b/>
      <w:i w:val="0"/>
      <w:color w:val="000000"/>
      <w:sz w:val="44"/>
      <w:u w:val="none"/>
      <w:lang w:val="en-US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widowControl/>
      <w:numPr>
        <w:ilvl w:val="1"/>
      </w:numPr>
      <w:spacing w:before="0" w:after="480" w:line="420" w:lineRule="exact"/>
      <w:ind w:left="0" w:firstLineChars="0"/>
      <w:jc w:val="center"/>
    </w:pPr>
    <w:rPr>
      <w:rFonts w:ascii="Times New Roman" w:hAnsi="Times New Roman" w:cs="Times New Roman" w:eastAsia="宋体"/>
      <w:b w:val="0"/>
      <w:i w:val="0"/>
      <w:color w:val="000000"/>
      <w:sz w:val="28"/>
      <w:u w:val="none"/>
      <w:lang w:val="en-US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宋体"/>
      <w:b w:val="0"/>
      <w:i w:val="0"/>
      <w:color w:val="000000"/>
      <w:sz w:val="28"/>
      <w:u w:val="none"/>
      <w:lang w:val="en-US" w:eastAsia="zh-CN"/>
    </w:rPr>
  </w:style>
  <w:style w:type="paragraph" w:styleId="ListParagraph">
    <w:name w:val="List Paragraph"/>
    <w:basedOn w:val="Normal"/>
    <w:uiPriority w:val="34"/>
    <w:qFormat/>
    <w:rsid w:val="00FC693F"/>
    <w:pPr>
      <w:widowControl/>
      <w:spacing w:before="0" w:after="0" w:line="400" w:lineRule="exact"/>
      <w:ind w:left="480"/>
      <w:contextualSpacing/>
      <w:jc w:val="both"/>
    </w:pPr>
    <w:rPr>
      <w:rFonts w:ascii="Times New Roman" w:hAnsi="Times New Roman" w:cs="Times New Roman" w:eastAsia="宋体"/>
      <w:b w:val="0"/>
      <w:i w:val="0"/>
      <w:color w:val="000000"/>
      <w:sz w:val="24"/>
      <w:u w:val="none"/>
      <w:lang w:val="en-US" w:eastAsia="zh-C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widowControl/>
      <w:spacing w:before="0" w:after="0" w:line="360" w:lineRule="exact"/>
      <w:ind w:firstLine="420" w:left="420"/>
      <w:jc w:val="both"/>
    </w:pPr>
    <w:rPr>
      <w:rFonts w:ascii="Times New Roman" w:hAnsi="Times New Roman" w:cs="Times New Roman" w:eastAsia="宋体"/>
      <w:b w:val="0"/>
      <w:i w:val="0"/>
      <w:color w:val="000000"/>
      <w:sz w:val="21"/>
      <w:u w:val="none"/>
      <w:lang w:val="en-US" w:eastAsia="zh-CN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宋体"/>
      <w:b w:val="0"/>
      <w:i w:val="0"/>
      <w:color w:val="000000"/>
      <w:sz w:val="21"/>
      <w:u w:val="none"/>
      <w:lang w:val="en-US"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宋体"/>
      <w:b w:val="0"/>
      <w:bCs/>
      <w:i w:val="0"/>
      <w:color w:val="000000"/>
      <w:sz w:val="24"/>
      <w:u w:val="none"/>
      <w:lang w:val="en-US"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Chars="0"/>
      <w:jc w:val="center"/>
    </w:pPr>
    <w:rPr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正文">
    <w:name w:val="正文"/>
    <w:basedOn w:val="Normal"/>
    <w:pPr>
      <w:widowControl/>
      <w:spacing w:before="0" w:after="0" w:line="400" w:lineRule="exact"/>
      <w:ind w:firstLineChars="200" w:left="0"/>
      <w:jc w:val="both"/>
    </w:pPr>
    <w:rPr>
      <w:rFonts w:ascii="Times New Roman" w:hAnsi="Times New Roman" w:cs="Times New Roman" w:eastAsia="宋体"/>
      <w:b w:val="0"/>
      <w:i w:val="0"/>
      <w:color w:val="000000"/>
      <w:sz w:val="24"/>
      <w:u w:val="none"/>
      <w:lang w:val="en-US" w:eastAsia="zh-CN"/>
    </w:rPr>
  </w:style>
  <w:style w:type="paragraph" w:customStyle="1" w:styleId="主标题">
    <w:name w:val="主标题"/>
    <w:basedOn w:val="Title"/>
    <w:pPr>
      <w:keepNext/>
      <w:keepLines/>
      <w:widowControl/>
      <w:spacing w:before="360" w:after="580" w:line="660" w:lineRule="exact"/>
      <w:ind w:left="0" w:firstLineChars="0"/>
      <w:jc w:val="center"/>
      <w:pBdr>
        <w:bottom w:val="single" w:sz="10" w:space="8" w:color="9FBAD0"/>
      </w:pBdr>
    </w:pPr>
    <w:rPr>
      <w:rFonts w:ascii="Times New Roman" w:hAnsi="Times New Roman" w:cs="Times New Roman" w:eastAsia="黑体"/>
      <w:b/>
      <w:i w:val="0"/>
      <w:color w:val="000000"/>
      <w:sz w:val="44"/>
      <w:u w:val="none"/>
      <w:lang w:val="en-US" w:eastAsia="zh-CN"/>
    </w:rPr>
  </w:style>
  <w:style w:type="paragraph" w:customStyle="1" w:styleId="副标题">
    <w:name w:val="副标题"/>
    <w:basedOn w:val="Subtitle"/>
    <w:pPr>
      <w:keepNext/>
      <w:keepLines/>
      <w:widowControl/>
      <w:spacing w:before="0" w:after="480" w:line="420" w:lineRule="exact"/>
      <w:ind w:left="0" w:firstLineChars="0"/>
      <w:jc w:val="center"/>
    </w:pPr>
    <w:rPr>
      <w:rFonts w:ascii="Times New Roman" w:hAnsi="Times New Roman" w:cs="Times New Roman" w:eastAsia="宋体"/>
      <w:b w:val="0"/>
      <w:i w:val="0"/>
      <w:color w:val="000000"/>
      <w:sz w:val="28"/>
      <w:u w:val="none"/>
      <w:lang w:val="en-US" w:eastAsia="zh-CN"/>
    </w:rPr>
  </w:style>
  <w:style w:type="paragraph" w:customStyle="1" w:styleId="一级标题">
    <w:name w:val="一级标题"/>
    <w:basedOn w:val="Heading1"/>
    <w:pPr>
      <w:keepNext/>
      <w:keepLines/>
      <w:widowControl/>
      <w:spacing w:before="400" w:after="120" w:line="400" w:lineRule="exact"/>
      <w:ind w:left="0"/>
      <w:jc w:val="left"/>
    </w:pPr>
    <w:rPr>
      <w:rFonts w:ascii="Times New Roman" w:hAnsi="Times New Roman" w:cs="Times New Roman" w:eastAsia="黑体"/>
      <w:b/>
      <w:i w:val="0"/>
      <w:color w:val="000000"/>
      <w:sz w:val="32"/>
      <w:u w:val="none"/>
      <w:lang w:val="en-US" w:eastAsia="zh-CN"/>
    </w:rPr>
  </w:style>
  <w:style w:type="paragraph" w:customStyle="1" w:styleId="二级标题">
    <w:name w:val="二级标题"/>
    <w:basedOn w:val="Heading2"/>
    <w:pPr>
      <w:keepNext/>
      <w:keepLines/>
      <w:widowControl/>
      <w:spacing w:before="160" w:after="60" w:line="400" w:lineRule="exact"/>
      <w:ind w:left="0"/>
      <w:jc w:val="left"/>
      <w:pBdr>
        <w:bottom w:val="single" w:sz="6" w:space="3" w:color="D9E2F3"/>
      </w:pBdr>
    </w:pPr>
    <w:rPr>
      <w:rFonts w:ascii="Times New Roman" w:hAnsi="Times New Roman" w:cs="Times New Roman" w:eastAsia="黑体"/>
      <w:b/>
      <w:i w:val="0"/>
      <w:color w:val="000000"/>
      <w:sz w:val="28"/>
      <w:u w:val="none"/>
      <w:lang w:val="en-US" w:eastAsia="zh-CN"/>
    </w:rPr>
  </w:style>
  <w:style w:type="paragraph" w:customStyle="1" w:styleId="三级标题">
    <w:name w:val="三级标题"/>
    <w:basedOn w:val="Heading3"/>
    <w:pPr>
      <w:keepNext/>
      <w:keepLines/>
      <w:widowControl/>
      <w:spacing w:before="120" w:after="40" w:line="400" w:lineRule="exact"/>
      <w:ind w:left="0"/>
      <w:jc w:val="left"/>
    </w:pPr>
    <w:rPr>
      <w:rFonts w:ascii="Times New Roman" w:hAnsi="Times New Roman" w:cs="Times New Roman" w:eastAsia="宋体"/>
      <w:b/>
      <w:i w:val="0"/>
      <w:color w:val="000000"/>
      <w:sz w:val="24"/>
      <w:u w:val="none"/>
      <w:lang w:val="en-US" w:eastAsia="zh-CN"/>
    </w:rPr>
  </w:style>
  <w:style w:type="paragraph" w:customStyle="1" w:styleId="四级标题">
    <w:name w:val="四级标题"/>
    <w:basedOn w:val="Heading4"/>
    <w:pPr>
      <w:keepNext/>
      <w:keepLines/>
      <w:widowControl/>
      <w:spacing w:before="0" w:after="0" w:line="400" w:lineRule="exact"/>
      <w:ind w:left="0"/>
      <w:jc w:val="left"/>
    </w:pPr>
    <w:rPr>
      <w:rFonts w:ascii="Times New Roman" w:hAnsi="Times New Roman" w:cs="Times New Roman" w:eastAsia="宋体"/>
      <w:b w:val="0"/>
      <w:i w:val="0"/>
      <w:color w:val="000000"/>
      <w:sz w:val="24"/>
      <w:u w:val="none"/>
      <w:lang w:val="en-US" w:eastAsia="zh-CN"/>
    </w:rPr>
  </w:style>
  <w:style w:type="paragraph" w:customStyle="1" w:styleId="题注">
    <w:name w:val="题注"/>
    <w:basedOn w:val="Caption"/>
    <w:pPr>
      <w:widowControl/>
      <w:spacing w:before="120" w:after="120" w:line="400" w:lineRule="exact"/>
      <w:ind w:left="0" w:firstLineChars="0"/>
      <w:jc w:val="center"/>
    </w:pPr>
    <w:rPr>
      <w:rFonts w:ascii="Times New Roman" w:hAnsi="Times New Roman" w:cs="Times New Roman" w:eastAsia="宋体"/>
      <w:b w:val="0"/>
      <w:i w:val="0"/>
      <w:color w:val="000000"/>
      <w:sz w:val="21"/>
      <w:u w:val="none"/>
      <w:lang w:val="en-US" w:eastAsia="zh-CN"/>
    </w:rPr>
  </w:style>
  <w:style w:type="paragraph" w:customStyle="1" w:styleId="页眉">
    <w:name w:val="页眉"/>
    <w:basedOn w:val="Header"/>
    <w:pPr>
      <w:spacing w:before="0" w:after="0" w:line="240" w:lineRule="exact"/>
      <w:ind w:left="0" w:firstLineChars="0"/>
      <w:jc w:val="center"/>
      <w:pBdr>
        <w:bottom w:val="single" w:sz="6" w:space="1" w:color="9FBAD0"/>
      </w:pBdr>
    </w:pPr>
    <w:rPr>
      <w:rFonts w:ascii="Times New Roman" w:hAnsi="Times New Roman" w:cs="Times New Roman" w:eastAsia="宋体"/>
      <w:b w:val="0"/>
      <w:i w:val="0"/>
      <w:color w:val="000000"/>
      <w:sz w:val="18"/>
      <w:u w:val="none"/>
      <w:lang w:val="en-US" w:eastAsia="zh-CN"/>
    </w:rPr>
  </w:style>
  <w:style w:type="paragraph" w:customStyle="1" w:styleId="页脚">
    <w:name w:val="页脚"/>
    <w:basedOn w:val="Footer"/>
    <w:pPr>
      <w:spacing w:before="0" w:after="0" w:line="240" w:lineRule="exact"/>
      <w:ind w:left="0" w:firstLineChars="0"/>
      <w:jc w:val="center"/>
      <w:pBdr>
        <w:top w:val="single" w:sz="4" w:space="2" w:color="D9E2F3"/>
      </w:pBdr>
    </w:pPr>
    <w:rPr>
      <w:rFonts w:ascii="Times New Roman" w:hAnsi="Times New Roman" w:cs="Times New Roman" w:eastAsia="宋体"/>
      <w:b w:val="0"/>
      <w:i w:val="0"/>
      <w:color w:val="000000"/>
      <w:sz w:val="18"/>
      <w:u w:val="none"/>
      <w:lang w:val="en-US" w:eastAsia="zh-CN"/>
    </w:rPr>
  </w:style>
  <w:style w:type="paragraph" w:customStyle="1" w:styleId="脚注文本">
    <w:name w:val="脚注文本"/>
    <w:pPr>
      <w:spacing w:before="0" w:after="0" w:line="240" w:lineRule="exact"/>
      <w:ind w:left="0"/>
      <w:jc w:val="left"/>
    </w:pPr>
    <w:rPr>
      <w:rFonts w:ascii="Times New Roman" w:hAnsi="Times New Roman" w:cs="Times New Roman" w:eastAsia="宋体"/>
      <w:b w:val="0"/>
      <w:i w:val="0"/>
      <w:color w:val="000000"/>
      <w:sz w:val="18"/>
      <w:u w:val="none"/>
      <w:lang w:val="en-US" w:eastAsia="zh-CN"/>
    </w:rPr>
  </w:style>
  <w:style w:type="paragraph" w:customStyle="1" w:styleId="尾注文本">
    <w:name w:val="尾注文本"/>
    <w:pPr>
      <w:spacing w:before="0" w:after="0" w:line="240" w:lineRule="exact"/>
      <w:ind w:left="0"/>
      <w:jc w:val="left"/>
    </w:pPr>
    <w:rPr>
      <w:rFonts w:ascii="Times New Roman" w:hAnsi="Times New Roman" w:cs="Times New Roman" w:eastAsia="宋体"/>
      <w:b w:val="0"/>
      <w:i w:val="0"/>
      <w:color w:val="000000"/>
      <w:sz w:val="18"/>
      <w:u w:val="none"/>
      <w:lang w:val="en-US" w:eastAsia="zh-CN"/>
    </w:rPr>
  </w:style>
  <w:style w:type="paragraph" w:customStyle="1" w:styleId="TOC1">
    <w:name w:val="TOC 1"/>
    <w:pPr>
      <w:spacing w:before="0" w:after="0" w:line="360" w:lineRule="exact"/>
      <w:ind w:left="0"/>
      <w:jc w:val="left"/>
    </w:pPr>
    <w:rPr>
      <w:rFonts w:ascii="Times New Roman" w:hAnsi="Times New Roman" w:cs="Times New Roman" w:eastAsia="宋体"/>
      <w:b w:val="0"/>
      <w:i w:val="0"/>
      <w:color w:val="000000"/>
      <w:sz w:val="21"/>
      <w:u w:val="none"/>
      <w:lang w:val="en-US" w:eastAsia="zh-CN"/>
    </w:rPr>
  </w:style>
  <w:style w:type="paragraph" w:customStyle="1" w:styleId="TOC2">
    <w:name w:val="TOC 2"/>
    <w:pPr>
      <w:spacing w:before="0" w:after="0" w:line="360" w:lineRule="exact"/>
      <w:ind w:left="420"/>
      <w:jc w:val="left"/>
    </w:pPr>
    <w:rPr>
      <w:rFonts w:ascii="Times New Roman" w:hAnsi="Times New Roman" w:cs="Times New Roman" w:eastAsia="宋体"/>
      <w:b w:val="0"/>
      <w:i w:val="0"/>
      <w:color w:val="000000"/>
      <w:sz w:val="21"/>
      <w:u w:val="none"/>
      <w:lang w:val="en-US" w:eastAsia="zh-CN"/>
    </w:rPr>
  </w:style>
  <w:style w:type="paragraph" w:customStyle="1" w:styleId="TOC3">
    <w:name w:val="TOC 3"/>
    <w:pPr>
      <w:spacing w:before="0" w:after="0" w:line="360" w:lineRule="exact"/>
      <w:ind w:left="840"/>
      <w:jc w:val="left"/>
    </w:pPr>
    <w:rPr>
      <w:rFonts w:ascii="Times New Roman" w:hAnsi="Times New Roman" w:cs="Times New Roman" w:eastAsia="宋体"/>
      <w:b w:val="0"/>
      <w:i w:val="0"/>
      <w:color w:val="000000"/>
      <w:sz w:val="21"/>
      <w:u w:val="none"/>
      <w:lang w:val="en-US" w:eastAsia="zh-CN"/>
    </w:rPr>
  </w:style>
  <w:style w:type="paragraph" w:customStyle="1" w:styleId="TableofFigures">
    <w:name w:val="Table of Figures"/>
    <w:pPr>
      <w:spacing w:before="0" w:after="0" w:line="360" w:lineRule="exact"/>
      <w:ind w:left="0"/>
      <w:jc w:val="left"/>
    </w:pPr>
    <w:rPr>
      <w:rFonts w:ascii="Times New Roman" w:hAnsi="Times New Roman" w:cs="Times New Roman" w:eastAsia="宋体"/>
      <w:b w:val="0"/>
      <w:i w:val="0"/>
      <w:color w:val="000000"/>
      <w:sz w:val="21"/>
      <w:u w:val="none"/>
      <w:lang w:val="en-US" w:eastAsia="zh-CN"/>
    </w:rPr>
  </w:style>
  <w:style w:type="paragraph" w:customStyle="1" w:styleId="Bibliography">
    <w:name w:val="Bibliography"/>
    <w:pPr>
      <w:widowControl/>
      <w:spacing w:before="0" w:after="0" w:line="360" w:lineRule="exact"/>
      <w:ind w:hanging="420" w:left="420"/>
      <w:jc w:val="both"/>
    </w:pPr>
    <w:rPr>
      <w:rFonts w:ascii="Times New Roman" w:hAnsi="Times New Roman" w:cs="Times New Roman" w:eastAsia="宋体"/>
      <w:b w:val="0"/>
      <w:i w:val="0"/>
      <w:color w:val="000000"/>
      <w:sz w:val="21"/>
      <w:u w:val="none"/>
      <w:lang w:val="en-US" w:eastAsia="zh-CN"/>
    </w:rPr>
  </w:style>
  <w:style w:type="table" w:customStyle="1" w:styleId="正式表格">
    <w:name w:val="正式表格"/>
    <w:basedOn w:val="TableGrid"/>
    <w:rPr>
      <w:rFonts w:ascii="Times New Roman" w:hAnsi="Times New Roman" w:cs="Times New Roman" w:eastAsia="宋体"/>
      <w:b w:val="0"/>
      <w:color w:val="000000"/>
      <w:sz w:val="21"/>
      <w:lang w:val="en-US" w:eastAsia="zh-CN"/>
    </w:rPr>
    <w:pPr>
      <w:spacing w:line="240" w:lineRule="auto" w:before="0" w:after="0"/>
    </w:pPr>
    <w:tblPr>
      <w:tblBorders>
        <w:top w:val="single" w:sz="8" w:space="0" w:color="B7C7D9"/>
        <w:bottom w:val="single" w:sz="8" w:space="0" w:color="B7C7D9"/>
        <w:left w:val="single" w:sz="4" w:space="0" w:color="B7C7D9"/>
        <w:right w:val="single" w:sz="4" w:space="0" w:color="B7C7D9"/>
        <w:insideH w:val="single" w:sz="4" w:space="0" w:color="B7C7D9"/>
        <w:insideV w:val="single" w:sz="4" w:space="0" w:color="B7C7D9"/>
      </w:tblBorders>
    </w:tblPr>
    <w:tblStylePr w:type="wholeTable">
      <w:rPr>
        <w:rFonts w:ascii="Times New Roman" w:hAnsi="Times New Roman" w:cs="Times New Roman" w:eastAsia="宋体"/>
        <w:color w:val="000000"/>
        <w:sz w:val="24"/>
      </w:rPr>
    </w:tblStylePr>
    <w:tblStylePr w:type="firstRow">
      <w:rPr>
        <w:rFonts w:ascii="Times New Roman" w:hAnsi="Times New Roman" w:cs="Times New Roman" w:eastAsia="宋体"/>
        <w:color w:val="FFFFFF"/>
        <w:b w:val="1"/>
        <w:sz w:val="24"/>
      </w:rPr>
      <w:shd w:val="clear" w:color="auto" w:fill="1F4E79"/>
    </w:tblStylePr>
    <w:tblStylePr w:type="band1Horz">
      <w:rPr>
        <w:rFonts w:ascii="Times New Roman" w:hAnsi="Times New Roman" w:cs="Times New Roman" w:eastAsia="宋体"/>
        <w:color w:val="000000"/>
        <w:sz w:val="24"/>
      </w:rPr>
      <w:shd w:val="clear" w:color="auto" w:fill="F3F6FA"/>
    </w:tblStylePr>
    <w:tblStylePr w:type="lastRow">
      <w:rPr>
        <w:rFonts w:ascii="Times New Roman" w:hAnsi="Times New Roman" w:cs="Times New Roman" w:eastAsia="宋体"/>
        <w:color w:val="000000"/>
        <w:b w:val="1"/>
        <w:sz w:val="24"/>
      </w:rPr>
      <w:shd w:val="clear" w:color="auto" w:fill="E7EEF7"/>
    </w:tblStylePr>
  </w:style>
  <w:style w:type="character" w:customStyle="1" w:styleId="Hyperlink">
    <w:name w:val="Hyperlink"/>
    <w:rPr>
      <w:color w:val="000000"/>
      <w:u w:val="none"/>
    </w:rPr>
  </w:style>
</w:styles>
</file>

<file path=word/stylesWithEffect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400" w:lineRule="exact"/>
      <w:ind w:firstLineChars="200" w:left="0"/>
      <w:jc w:val="both"/>
    </w:pPr>
    <w:rPr>
      <w:rFonts w:ascii="Times New Roman" w:hAnsi="Times New Roman" w:cs="Times New Roman" w:eastAsia="宋体"/>
      <w:b w:val="0"/>
      <w:i w:val="0"/>
      <w:color w:val="000000"/>
      <w:sz w:val="24"/>
      <w:u w:val="none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00" w:after="120" w:line="400" w:lineRule="exact"/>
      <w:ind w:left="0"/>
      <w:jc w:val="left"/>
      <w:outlineLvl w:val="0"/>
    </w:pPr>
    <w:rPr>
      <w:rFonts w:ascii="Times New Roman" w:hAnsi="Times New Roman" w:cs="Times New Roman" w:eastAsia="黑体"/>
      <w:b/>
      <w:bCs/>
      <w:i w:val="0"/>
      <w:color w:val="000000"/>
      <w:sz w:val="32"/>
      <w:u w:val="none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400" w:lineRule="exact"/>
      <w:ind w:left="0"/>
      <w:jc w:val="left"/>
      <w:outlineLvl w:val="1"/>
      <w:pBdr>
        <w:bottom w:val="single" w:sz="6" w:space="3" w:color="D9E2F3"/>
      </w:pBdr>
    </w:pPr>
    <w:rPr>
      <w:rFonts w:ascii="Times New Roman" w:hAnsi="Times New Roman" w:cs="Times New Roman" w:eastAsia="黑体"/>
      <w:b/>
      <w:bCs/>
      <w:i w:val="0"/>
      <w:color w:val="000000"/>
      <w:sz w:val="28"/>
      <w:u w:val="none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40" w:line="400" w:lineRule="exact"/>
      <w:ind w:left="0"/>
      <w:jc w:val="left"/>
      <w:outlineLvl w:val="2"/>
    </w:pPr>
    <w:rPr>
      <w:rFonts w:ascii="Times New Roman" w:hAnsi="Times New Roman" w:cs="Times New Roman" w:eastAsia="宋体"/>
      <w:b/>
      <w:bCs/>
      <w:i w:val="0"/>
      <w:color w:val="000000"/>
      <w:sz w:val="24"/>
      <w:u w:val="none"/>
      <w:lang w:val="en-US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0" w:after="0" w:line="400" w:lineRule="exact"/>
      <w:ind w:left="0"/>
      <w:jc w:val="left"/>
      <w:outlineLvl w:val="3"/>
    </w:pPr>
    <w:rPr>
      <w:rFonts w:ascii="Times New Roman" w:hAnsi="Times New Roman" w:cs="Times New Roman" w:eastAsia="宋体"/>
      <w:b w:val="0"/>
      <w:bCs/>
      <w:i w:val="0"/>
      <w:color w:val="000000"/>
      <w:sz w:val="24"/>
      <w:u w:val="none"/>
      <w:lang w:val="en-US"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i w:val="0"/>
      <w:color w:val="000000"/>
      <w:sz w:val="32"/>
      <w:u w:val="none"/>
      <w:lang w:val="en-US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i w:val="0"/>
      <w:color w:val="000000"/>
      <w:sz w:val="28"/>
      <w:u w:val="none"/>
      <w:lang w:val="en-US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宋体"/>
      <w:b/>
      <w:bCs/>
      <w:i w:val="0"/>
      <w:color w:val="000000"/>
      <w:sz w:val="24"/>
      <w:u w:val="none"/>
      <w:lang w:val="en-US"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widowControl/>
      <w:pBdr>
        <w:bottom w:val="single" w:sz="10" w:space="8" w:color="9FBAD0"/>
      </w:pBdr>
      <w:spacing w:after="580" w:line="660" w:lineRule="exact" w:before="360"/>
      <w:ind w:left="0" w:firstLineChars="0"/>
      <w:contextualSpacing/>
      <w:jc w:val="center"/>
    </w:pPr>
    <w:rPr>
      <w:rFonts w:ascii="Times New Roman" w:hAnsi="Times New Roman" w:cs="Times New Roman" w:eastAsia="黑体"/>
      <w:b/>
      <w:i w:val="0"/>
      <w:color w:val="000000"/>
      <w:sz w:val="44"/>
      <w:u w:val="none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b/>
      <w:i w:val="0"/>
      <w:color w:val="000000"/>
      <w:sz w:val="44"/>
      <w:u w:val="none"/>
      <w:lang w:val="en-US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widowControl/>
      <w:numPr>
        <w:ilvl w:val="1"/>
      </w:numPr>
      <w:spacing w:before="0" w:after="480" w:line="420" w:lineRule="exact"/>
      <w:ind w:left="0" w:firstLineChars="0"/>
      <w:jc w:val="center"/>
    </w:pPr>
    <w:rPr>
      <w:rFonts w:ascii="Times New Roman" w:hAnsi="Times New Roman" w:cs="Times New Roman" w:eastAsia="宋体"/>
      <w:b w:val="0"/>
      <w:i w:val="0"/>
      <w:color w:val="000000"/>
      <w:sz w:val="28"/>
      <w:u w:val="none"/>
      <w:lang w:val="en-US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宋体"/>
      <w:b w:val="0"/>
      <w:i w:val="0"/>
      <w:color w:val="000000"/>
      <w:sz w:val="28"/>
      <w:u w:val="none"/>
      <w:lang w:val="en-US" w:eastAsia="zh-CN"/>
    </w:rPr>
  </w:style>
  <w:style w:type="paragraph" w:styleId="ListParagraph">
    <w:name w:val="List Paragraph"/>
    <w:basedOn w:val="Normal"/>
    <w:uiPriority w:val="34"/>
    <w:qFormat/>
    <w:rsid w:val="00FC693F"/>
    <w:pPr>
      <w:widowControl/>
      <w:spacing w:before="0" w:after="0" w:line="400" w:lineRule="exact"/>
      <w:ind w:left="480"/>
      <w:contextualSpacing/>
      <w:jc w:val="both"/>
    </w:pPr>
    <w:rPr>
      <w:rFonts w:ascii="Times New Roman" w:hAnsi="Times New Roman" w:cs="Times New Roman" w:eastAsia="宋体"/>
      <w:b w:val="0"/>
      <w:i w:val="0"/>
      <w:color w:val="000000"/>
      <w:sz w:val="24"/>
      <w:u w:val="none"/>
      <w:lang w:val="en-US" w:eastAsia="zh-C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widowControl/>
      <w:spacing w:before="0" w:after="0" w:line="360" w:lineRule="exact"/>
      <w:ind w:firstLine="420" w:left="420"/>
      <w:jc w:val="both"/>
    </w:pPr>
    <w:rPr>
      <w:rFonts w:ascii="Times New Roman" w:hAnsi="Times New Roman" w:cs="Times New Roman" w:eastAsia="宋体"/>
      <w:b w:val="0"/>
      <w:i w:val="0"/>
      <w:color w:val="000000"/>
      <w:sz w:val="21"/>
      <w:u w:val="none"/>
      <w:lang w:val="en-US" w:eastAsia="zh-CN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宋体"/>
      <w:b w:val="0"/>
      <w:i w:val="0"/>
      <w:color w:val="000000"/>
      <w:sz w:val="21"/>
      <w:u w:val="none"/>
      <w:lang w:val="en-US"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宋体"/>
      <w:b w:val="0"/>
      <w:bCs/>
      <w:i w:val="0"/>
      <w:color w:val="000000"/>
      <w:sz w:val="24"/>
      <w:u w:val="none"/>
      <w:lang w:val="en-US"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Chars="0"/>
      <w:jc w:val="center"/>
    </w:pPr>
    <w:rPr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正文">
    <w:name w:val="正文"/>
    <w:basedOn w:val="Normal"/>
    <w:pPr>
      <w:widowControl/>
      <w:spacing w:before="0" w:after="0" w:line="400" w:lineRule="exact"/>
      <w:ind w:firstLineChars="200" w:left="0"/>
      <w:jc w:val="both"/>
    </w:pPr>
    <w:rPr>
      <w:rFonts w:ascii="Times New Roman" w:hAnsi="Times New Roman" w:cs="Times New Roman" w:eastAsia="宋体"/>
      <w:b w:val="0"/>
      <w:i w:val="0"/>
      <w:color w:val="000000"/>
      <w:sz w:val="24"/>
      <w:u w:val="none"/>
      <w:lang w:val="en-US" w:eastAsia="zh-CN"/>
    </w:rPr>
  </w:style>
  <w:style w:type="paragraph" w:customStyle="1" w:styleId="主标题">
    <w:name w:val="主标题"/>
    <w:basedOn w:val="Title"/>
    <w:pPr>
      <w:keepNext/>
      <w:keepLines/>
      <w:widowControl/>
      <w:spacing w:before="360" w:after="580" w:line="660" w:lineRule="exact"/>
      <w:ind w:left="0" w:firstLineChars="0"/>
      <w:jc w:val="center"/>
      <w:pBdr>
        <w:bottom w:val="single" w:sz="10" w:space="8" w:color="9FBAD0"/>
      </w:pBdr>
    </w:pPr>
    <w:rPr>
      <w:rFonts w:ascii="Times New Roman" w:hAnsi="Times New Roman" w:cs="Times New Roman" w:eastAsia="黑体"/>
      <w:b/>
      <w:i w:val="0"/>
      <w:color w:val="000000"/>
      <w:sz w:val="44"/>
      <w:u w:val="none"/>
      <w:lang w:val="en-US" w:eastAsia="zh-CN"/>
    </w:rPr>
  </w:style>
  <w:style w:type="paragraph" w:customStyle="1" w:styleId="副标题">
    <w:name w:val="副标题"/>
    <w:basedOn w:val="Subtitle"/>
    <w:pPr>
      <w:keepNext/>
      <w:keepLines/>
      <w:widowControl/>
      <w:spacing w:before="0" w:after="480" w:line="420" w:lineRule="exact"/>
      <w:ind w:left="0" w:firstLineChars="0"/>
      <w:jc w:val="center"/>
    </w:pPr>
    <w:rPr>
      <w:rFonts w:ascii="Times New Roman" w:hAnsi="Times New Roman" w:cs="Times New Roman" w:eastAsia="宋体"/>
      <w:b w:val="0"/>
      <w:i w:val="0"/>
      <w:color w:val="000000"/>
      <w:sz w:val="28"/>
      <w:u w:val="none"/>
      <w:lang w:val="en-US" w:eastAsia="zh-CN"/>
    </w:rPr>
  </w:style>
  <w:style w:type="paragraph" w:customStyle="1" w:styleId="一级标题">
    <w:name w:val="一级标题"/>
    <w:basedOn w:val="Heading1"/>
    <w:pPr>
      <w:keepNext/>
      <w:keepLines/>
      <w:widowControl/>
      <w:spacing w:before="400" w:after="120" w:line="400" w:lineRule="exact"/>
      <w:ind w:left="0"/>
      <w:jc w:val="left"/>
    </w:pPr>
    <w:rPr>
      <w:rFonts w:ascii="Times New Roman" w:hAnsi="Times New Roman" w:cs="Times New Roman" w:eastAsia="黑体"/>
      <w:b/>
      <w:i w:val="0"/>
      <w:color w:val="000000"/>
      <w:sz w:val="32"/>
      <w:u w:val="none"/>
      <w:lang w:val="en-US" w:eastAsia="zh-CN"/>
    </w:rPr>
  </w:style>
  <w:style w:type="paragraph" w:customStyle="1" w:styleId="二级标题">
    <w:name w:val="二级标题"/>
    <w:basedOn w:val="Heading2"/>
    <w:pPr>
      <w:keepNext/>
      <w:keepLines/>
      <w:widowControl/>
      <w:spacing w:before="160" w:after="60" w:line="400" w:lineRule="exact"/>
      <w:ind w:left="0"/>
      <w:jc w:val="left"/>
      <w:pBdr>
        <w:bottom w:val="single" w:sz="6" w:space="3" w:color="D9E2F3"/>
      </w:pBdr>
    </w:pPr>
    <w:rPr>
      <w:rFonts w:ascii="Times New Roman" w:hAnsi="Times New Roman" w:cs="Times New Roman" w:eastAsia="黑体"/>
      <w:b/>
      <w:i w:val="0"/>
      <w:color w:val="000000"/>
      <w:sz w:val="28"/>
      <w:u w:val="none"/>
      <w:lang w:val="en-US" w:eastAsia="zh-CN"/>
    </w:rPr>
  </w:style>
  <w:style w:type="paragraph" w:customStyle="1" w:styleId="三级标题">
    <w:name w:val="三级标题"/>
    <w:basedOn w:val="Heading3"/>
    <w:pPr>
      <w:keepNext/>
      <w:keepLines/>
      <w:widowControl/>
      <w:spacing w:before="120" w:after="40" w:line="400" w:lineRule="exact"/>
      <w:ind w:left="0"/>
      <w:jc w:val="left"/>
    </w:pPr>
    <w:rPr>
      <w:rFonts w:ascii="Times New Roman" w:hAnsi="Times New Roman" w:cs="Times New Roman" w:eastAsia="宋体"/>
      <w:b/>
      <w:i w:val="0"/>
      <w:color w:val="000000"/>
      <w:sz w:val="24"/>
      <w:u w:val="none"/>
      <w:lang w:val="en-US" w:eastAsia="zh-CN"/>
    </w:rPr>
  </w:style>
  <w:style w:type="paragraph" w:customStyle="1" w:styleId="四级标题">
    <w:name w:val="四级标题"/>
    <w:basedOn w:val="Heading4"/>
    <w:pPr>
      <w:keepNext/>
      <w:keepLines/>
      <w:widowControl/>
      <w:spacing w:before="0" w:after="0" w:line="400" w:lineRule="exact"/>
      <w:ind w:left="0"/>
      <w:jc w:val="left"/>
    </w:pPr>
    <w:rPr>
      <w:rFonts w:ascii="Times New Roman" w:hAnsi="Times New Roman" w:cs="Times New Roman" w:eastAsia="宋体"/>
      <w:b w:val="0"/>
      <w:i w:val="0"/>
      <w:color w:val="000000"/>
      <w:sz w:val="24"/>
      <w:u w:val="none"/>
      <w:lang w:val="en-US" w:eastAsia="zh-CN"/>
    </w:rPr>
  </w:style>
  <w:style w:type="paragraph" w:customStyle="1" w:styleId="题注">
    <w:name w:val="题注"/>
    <w:basedOn w:val="Caption"/>
    <w:pPr>
      <w:widowControl/>
      <w:spacing w:before="120" w:after="120" w:line="400" w:lineRule="exact"/>
      <w:ind w:left="0" w:firstLineChars="0"/>
      <w:jc w:val="center"/>
    </w:pPr>
    <w:rPr>
      <w:rFonts w:ascii="Times New Roman" w:hAnsi="Times New Roman" w:cs="Times New Roman" w:eastAsia="宋体"/>
      <w:b w:val="0"/>
      <w:i w:val="0"/>
      <w:color w:val="000000"/>
      <w:sz w:val="21"/>
      <w:u w:val="none"/>
      <w:lang w:val="en-US" w:eastAsia="zh-CN"/>
    </w:rPr>
  </w:style>
  <w:style w:type="paragraph" w:customStyle="1" w:styleId="页眉">
    <w:name w:val="页眉"/>
    <w:basedOn w:val="Header"/>
    <w:pPr>
      <w:spacing w:before="0" w:after="0" w:line="240" w:lineRule="exact"/>
      <w:ind w:left="0" w:firstLineChars="0"/>
      <w:jc w:val="center"/>
      <w:pBdr>
        <w:bottom w:val="single" w:sz="6" w:space="1" w:color="9FBAD0"/>
      </w:pBdr>
    </w:pPr>
    <w:rPr>
      <w:rFonts w:ascii="Times New Roman" w:hAnsi="Times New Roman" w:cs="Times New Roman" w:eastAsia="宋体"/>
      <w:b w:val="0"/>
      <w:i w:val="0"/>
      <w:color w:val="000000"/>
      <w:sz w:val="18"/>
      <w:u w:val="none"/>
      <w:lang w:val="en-US" w:eastAsia="zh-CN"/>
    </w:rPr>
  </w:style>
  <w:style w:type="paragraph" w:customStyle="1" w:styleId="页脚">
    <w:name w:val="页脚"/>
    <w:basedOn w:val="Footer"/>
    <w:pPr>
      <w:spacing w:before="0" w:after="0" w:line="240" w:lineRule="exact"/>
      <w:ind w:left="0" w:firstLineChars="0"/>
      <w:jc w:val="center"/>
      <w:pBdr>
        <w:top w:val="single" w:sz="4" w:space="2" w:color="D9E2F3"/>
      </w:pBdr>
    </w:pPr>
    <w:rPr>
      <w:rFonts w:ascii="Times New Roman" w:hAnsi="Times New Roman" w:cs="Times New Roman" w:eastAsia="宋体"/>
      <w:b w:val="0"/>
      <w:i w:val="0"/>
      <w:color w:val="000000"/>
      <w:sz w:val="18"/>
      <w:u w:val="none"/>
      <w:lang w:val="en-US" w:eastAsia="zh-CN"/>
    </w:rPr>
  </w:style>
  <w:style w:type="paragraph" w:customStyle="1" w:styleId="脚注文本">
    <w:name w:val="脚注文本"/>
    <w:pPr>
      <w:spacing w:before="0" w:after="0" w:line="240" w:lineRule="exact"/>
      <w:ind w:left="0"/>
      <w:jc w:val="left"/>
    </w:pPr>
    <w:rPr>
      <w:rFonts w:ascii="Times New Roman" w:hAnsi="Times New Roman" w:cs="Times New Roman" w:eastAsia="宋体"/>
      <w:b w:val="0"/>
      <w:i w:val="0"/>
      <w:color w:val="000000"/>
      <w:sz w:val="18"/>
      <w:u w:val="none"/>
      <w:lang w:val="en-US" w:eastAsia="zh-CN"/>
    </w:rPr>
  </w:style>
  <w:style w:type="paragraph" w:customStyle="1" w:styleId="尾注文本">
    <w:name w:val="尾注文本"/>
    <w:pPr>
      <w:spacing w:before="0" w:after="0" w:line="240" w:lineRule="exact"/>
      <w:ind w:left="0"/>
      <w:jc w:val="left"/>
    </w:pPr>
    <w:rPr>
      <w:rFonts w:ascii="Times New Roman" w:hAnsi="Times New Roman" w:cs="Times New Roman" w:eastAsia="宋体"/>
      <w:b w:val="0"/>
      <w:i w:val="0"/>
      <w:color w:val="000000"/>
      <w:sz w:val="18"/>
      <w:u w:val="none"/>
      <w:lang w:val="en-US" w:eastAsia="zh-CN"/>
    </w:rPr>
  </w:style>
  <w:style w:type="paragraph" w:customStyle="1" w:styleId="TOC1">
    <w:name w:val="TOC 1"/>
    <w:pPr>
      <w:spacing w:before="0" w:after="0" w:line="360" w:lineRule="exact"/>
      <w:ind w:left="0"/>
      <w:jc w:val="left"/>
    </w:pPr>
    <w:rPr>
      <w:rFonts w:ascii="Times New Roman" w:hAnsi="Times New Roman" w:cs="Times New Roman" w:eastAsia="宋体"/>
      <w:b w:val="0"/>
      <w:i w:val="0"/>
      <w:color w:val="000000"/>
      <w:sz w:val="21"/>
      <w:u w:val="none"/>
      <w:lang w:val="en-US" w:eastAsia="zh-CN"/>
    </w:rPr>
  </w:style>
  <w:style w:type="paragraph" w:customStyle="1" w:styleId="TOC2">
    <w:name w:val="TOC 2"/>
    <w:pPr>
      <w:spacing w:before="0" w:after="0" w:line="360" w:lineRule="exact"/>
      <w:ind w:left="420"/>
      <w:jc w:val="left"/>
    </w:pPr>
    <w:rPr>
      <w:rFonts w:ascii="Times New Roman" w:hAnsi="Times New Roman" w:cs="Times New Roman" w:eastAsia="宋体"/>
      <w:b w:val="0"/>
      <w:i w:val="0"/>
      <w:color w:val="000000"/>
      <w:sz w:val="21"/>
      <w:u w:val="none"/>
      <w:lang w:val="en-US" w:eastAsia="zh-CN"/>
    </w:rPr>
  </w:style>
  <w:style w:type="paragraph" w:customStyle="1" w:styleId="TOC3">
    <w:name w:val="TOC 3"/>
    <w:pPr>
      <w:spacing w:before="0" w:after="0" w:line="360" w:lineRule="exact"/>
      <w:ind w:left="840"/>
      <w:jc w:val="left"/>
    </w:pPr>
    <w:rPr>
      <w:rFonts w:ascii="Times New Roman" w:hAnsi="Times New Roman" w:cs="Times New Roman" w:eastAsia="宋体"/>
      <w:b w:val="0"/>
      <w:i w:val="0"/>
      <w:color w:val="000000"/>
      <w:sz w:val="21"/>
      <w:u w:val="none"/>
      <w:lang w:val="en-US" w:eastAsia="zh-CN"/>
    </w:rPr>
  </w:style>
  <w:style w:type="paragraph" w:customStyle="1" w:styleId="TableofFigures">
    <w:name w:val="Table of Figures"/>
    <w:pPr>
      <w:spacing w:before="0" w:after="0" w:line="360" w:lineRule="exact"/>
      <w:ind w:left="0"/>
      <w:jc w:val="left"/>
    </w:pPr>
    <w:rPr>
      <w:rFonts w:ascii="Times New Roman" w:hAnsi="Times New Roman" w:cs="Times New Roman" w:eastAsia="宋体"/>
      <w:b w:val="0"/>
      <w:i w:val="0"/>
      <w:color w:val="000000"/>
      <w:sz w:val="21"/>
      <w:u w:val="none"/>
      <w:lang w:val="en-US" w:eastAsia="zh-CN"/>
    </w:rPr>
  </w:style>
  <w:style w:type="paragraph" w:customStyle="1" w:styleId="Bibliography">
    <w:name w:val="Bibliography"/>
    <w:pPr>
      <w:widowControl/>
      <w:spacing w:before="0" w:after="0" w:line="360" w:lineRule="exact"/>
      <w:ind w:hanging="420" w:left="420"/>
      <w:jc w:val="both"/>
    </w:pPr>
    <w:rPr>
      <w:rFonts w:ascii="Times New Roman" w:hAnsi="Times New Roman" w:cs="Times New Roman" w:eastAsia="宋体"/>
      <w:b w:val="0"/>
      <w:i w:val="0"/>
      <w:color w:val="000000"/>
      <w:sz w:val="21"/>
      <w:u w:val="none"/>
      <w:lang w:val="en-US" w:eastAsia="zh-CN"/>
    </w:rPr>
  </w:style>
  <w:style w:type="table" w:customStyle="1" w:styleId="正式表格">
    <w:name w:val="正式表格"/>
    <w:basedOn w:val="TableGrid"/>
    <w:rPr>
      <w:rFonts w:ascii="Times New Roman" w:hAnsi="Times New Roman" w:cs="Times New Roman" w:eastAsia="宋体"/>
      <w:b w:val="0"/>
      <w:color w:val="000000"/>
      <w:sz w:val="21"/>
      <w:lang w:val="en-US" w:eastAsia="zh-CN"/>
    </w:rPr>
    <w:pPr>
      <w:spacing w:line="240" w:lineRule="auto" w:before="0" w:after="0"/>
    </w:pPr>
    <w:tblPr>
      <w:tblBorders>
        <w:top w:val="single" w:sz="8" w:space="0" w:color="B7C7D9"/>
        <w:bottom w:val="single" w:sz="8" w:space="0" w:color="B7C7D9"/>
        <w:left w:val="single" w:sz="4" w:space="0" w:color="B7C7D9"/>
        <w:right w:val="single" w:sz="4" w:space="0" w:color="B7C7D9"/>
        <w:insideH w:val="single" w:sz="4" w:space="0" w:color="B7C7D9"/>
        <w:insideV w:val="single" w:sz="4" w:space="0" w:color="B7C7D9"/>
      </w:tblBorders>
    </w:tblPr>
    <w:tblStylePr w:type="wholeTable">
      <w:rPr>
        <w:rFonts w:ascii="Times New Roman" w:hAnsi="Times New Roman" w:cs="Times New Roman" w:eastAsia="宋体"/>
        <w:color w:val="000000"/>
        <w:sz w:val="24"/>
      </w:rPr>
    </w:tblStylePr>
    <w:tblStylePr w:type="firstRow">
      <w:rPr>
        <w:rFonts w:ascii="Times New Roman" w:hAnsi="Times New Roman" w:cs="Times New Roman" w:eastAsia="宋体"/>
        <w:color w:val="FFFFFF"/>
        <w:b w:val="1"/>
        <w:sz w:val="24"/>
      </w:rPr>
      <w:shd w:val="clear" w:color="auto" w:fill="1F4E79"/>
    </w:tblStylePr>
    <w:tblStylePr w:type="band1Horz">
      <w:rPr>
        <w:rFonts w:ascii="Times New Roman" w:hAnsi="Times New Roman" w:cs="Times New Roman" w:eastAsia="宋体"/>
        <w:color w:val="000000"/>
        <w:sz w:val="24"/>
      </w:rPr>
      <w:shd w:val="clear" w:color="auto" w:fill="F3F6FA"/>
    </w:tblStylePr>
    <w:tblStylePr w:type="lastRow">
      <w:rPr>
        <w:rFonts w:ascii="Times New Roman" w:hAnsi="Times New Roman" w:cs="Times New Roman" w:eastAsia="宋体"/>
        <w:color w:val="000000"/>
        <w:b w:val="1"/>
        <w:sz w:val="24"/>
      </w:rPr>
      <w:shd w:val="clear" w:color="auto" w:fill="E7EEF7"/>
    </w:tblStylePr>
  </w:style>
  <w:style w:type="character" w:customStyle="1" w:styleId="Hyperlink">
    <w:name w:val="Hyperlink"/>
    <w:rPr>
      <w:color w:val="00000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