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97.1%</w:t>
      </w:r>
      <w:r>
        <w:rPr>
          <w:rFonts w:ascii="宋体" w:hAnsi="宋体" w:eastAsia="宋体"/>
          <w:b w:val="0"/>
        </w:rPr>
        <w:t>（A20 最终代码实测两轮，A7 阶段为 98.1%）。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2328.2（A1/A2/A5/B4 对照组中位）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2546.1（B1–B3/B10 中位）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  <w:r>
              <w:rPr>
                <w:rFonts w:ascii="宋体" w:hAnsi="宋体" w:eastAsia="宋体"/>
                <w:b w:val="0"/>
                <w:sz w:val="18"/>
              </w:rPr>
              <w:t>，TPOT 111.9→98.6 ms，TTFT 持平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2972.1（晚间交错 A3/A4）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3436.2（B8/B9）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  <w:r>
              <w:rPr>
                <w:rFonts w:ascii="宋体" w:hAnsi="宋体" w:eastAsia="宋体"/>
                <w:b w:val="0"/>
                <w:sz w:val="18"/>
              </w:rPr>
              <w:t>，TTFT 155.1→134.0 s，TPOT 152.5→129.8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精度：最终代码（含混合步路径）MATH-500 Level 3 = </w:t>
      </w:r>
      <w:r>
        <w:rPr>
          <w:rFonts w:ascii="宋体" w:hAnsi="宋体" w:eastAsia="宋体"/>
          <w:b/>
        </w:rPr>
        <w:t>97.1%</w:t>
      </w:r>
      <w:r>
        <w:rPr>
          <w:rFonts w:ascii="宋体" w:hAnsi="宋体" w:eastAsia="宋体"/>
          <w:b w:val="0"/>
        </w:rPr>
        <w:t>（105 题），与不含</w:t>
      </w:r>
    </w:p>
    <w:p>
      <w:pPr>
        <w:spacing w:after="100"/>
      </w:pPr>
      <w:r>
        <w:rPr>
          <w:rFonts w:ascii="宋体" w:hAnsi="宋体" w:eastAsia="宋体"/>
          <w:b w:val="0"/>
        </w:rPr>
        <w:t>该路径时一致。</w:t>
      </w:r>
    </w:p>
    <w:p>
      <w:pPr>
        <w:spacing w:after="100"/>
      </w:pPr>
      <w:r>
        <w:rPr>
          <w:rFonts w:ascii="宋体" w:hAnsi="宋体" w:eastAsia="宋体"/>
          <w:b/>
        </w:rPr>
        <w:t>可审计性</w:t>
      </w:r>
      <w:r>
        <w:rPr>
          <w:rFonts w:ascii="宋体" w:hAnsi="宋体" w:eastAsia="宋体"/>
          <w:b w:val="0"/>
        </w:rPr>
        <w:t>：混合步的 decode 切片每 4000 次调用打一行</w:t>
      </w:r>
    </w:p>
    <w:p>
      <w:pPr>
        <w:spacing w:after="100"/>
      </w:pPr>
      <w:r>
        <w:rPr>
          <w:rFonts w:ascii="Consolas" w:hAnsi="Consolas" w:eastAsia="Consolas"/>
          <w:b w:val="0"/>
        </w:rPr>
        <w:t>decode_attn_fast slice: used=X skipped=Y</w:t>
      </w:r>
      <w:r>
        <w:rPr>
          <w:rFonts w:ascii="宋体" w:hAnsi="宋体" w:eastAsia="宋体"/>
          <w:b w:val="0"/>
        </w:rPr>
        <w:t>。16k 两次实测均为</w:t>
      </w:r>
    </w:p>
    <w:p>
      <w:pPr>
        <w:spacing w:after="100"/>
      </w:pPr>
      <w:r>
        <w:rPr>
          <w:rFonts w:ascii="Consolas" w:hAnsi="Consolas" w:eastAsia="Consolas"/>
          <w:b w:val="0"/>
        </w:rPr>
        <w:t>used=44000, skipped=0</w:t>
      </w:r>
      <w:r>
        <w:rPr>
          <w:rFonts w:ascii="宋体" w:hAnsi="宋体" w:eastAsia="宋体"/>
          <w:b w:val="0"/>
        </w:rPr>
        <w:t>，即 decode 切片 100% 命中自研内核，不存在"偶尔退回 stock"。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 xml:space="preserve">：BI-V150 报 compute capability </w:t>
      </w:r>
      <w:r>
        <w:rPr>
          <w:rFonts w:ascii="宋体" w:hAnsi="宋体" w:eastAsia="宋体"/>
          <w:b/>
        </w:rPr>
        <w:t>7.1</w:t>
      </w:r>
      <w:r>
        <w:rPr>
          <w:rFonts w:ascii="宋体" w:hAnsi="宋体" w:eastAsia="宋体"/>
          <w:b w:val="0"/>
        </w:rPr>
        <w:t>（Volta 世代，</w:t>
      </w:r>
    </w:p>
    <w:p>
      <w:pPr>
        <w:spacing w:after="100"/>
      </w:pPr>
      <w:r>
        <w:rPr>
          <w:rFonts w:ascii="宋体" w:hAnsi="宋体" w:eastAsia="宋体"/>
          <w:b w:val="0"/>
        </w:rPr>
        <w:t>CUDA 10.2 工具链），只有 fp16 HMMA、</w:t>
      </w:r>
      <w:r>
        <w:rPr>
          <w:rFonts w:ascii="宋体" w:hAnsi="宋体" w:eastAsia="宋体"/>
          <w:b/>
        </w:rPr>
        <w:t>没有 bf16 tensor core</w:t>
      </w:r>
      <w:r>
        <w:rPr>
          <w:rFonts w:ascii="宋体" w:hAnsi="宋体" w:eastAsia="宋体"/>
          <w:b w:val="0"/>
        </w:rPr>
        <w:t>。因此 Triton 的</w:t>
      </w:r>
    </w:p>
    <w:p>
      <w:pPr>
        <w:spacing w:after="100"/>
      </w:pPr>
      <w:r>
        <w:rPr>
          <w:rFonts w:ascii="Consolas" w:hAnsi="Consolas" w:eastAsia="Consolas"/>
          <w:b w:val="0"/>
        </w:rPr>
        <w:t>tl.dot(bf16, bf16)</w:t>
      </w:r>
      <w:r>
        <w:rPr>
          <w:rFonts w:ascii="宋体" w:hAnsi="宋体" w:eastAsia="宋体"/>
          <w:b w:val="0"/>
        </w:rPr>
        <w:t xml:space="preserve"> 必然经过 bf16→fp16 转换与 fp32 累加器→操作数的布局搬运，</w:t>
      </w:r>
    </w:p>
    <w:p>
      <w:pPr>
        <w:spacing w:after="100"/>
      </w:pPr>
      <w:r>
        <w:rPr>
          <w:rFonts w:ascii="宋体" w:hAnsi="宋体" w:eastAsia="宋体"/>
          <w:b w:val="0"/>
        </w:rPr>
        <w:t>PV 那 0.19 ms/层 就是它。实测把 K/V 换成 fp16 并不更快（0.699 vs 0.698 ms/层），</w:t>
      </w:r>
    </w:p>
    <w:p>
      <w:pPr>
        <w:spacing w:after="100"/>
      </w:pPr>
      <w:r>
        <w:rPr>
          <w:rFonts w:ascii="宋体" w:hAnsi="宋体" w:eastAsia="宋体"/>
          <w:b w:val="0"/>
        </w:rPr>
        <w:t>确认瓶颈不在 dtype 转换本身，而在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gather（16k 下约 22 GB 读 + 22 GB 写/波），但该 API 要求</w:t>
      </w:r>
      <w:r>
        <w:rPr>
          <w:rFonts w:ascii="宋体" w:hAnsi="宋体" w:eastAsia="宋体"/>
          <w:b w:val="0"/>
        </w:rPr>
        <w:t xml:space="preserve">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 xml:space="preserve">等于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>，与 vLLM 全局池</w:t>
      </w:r>
      <w:r>
        <w:rPr>
          <w:rFonts w:ascii="宋体" w:hAnsi="宋体" w:eastAsia="宋体"/>
          <w:b w:val="0"/>
        </w:rPr>
        <w:t xml:space="preserve"> 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。不可用。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