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96.2~98.1%</w:t>
      </w:r>
      <w:r>
        <w:rPr>
          <w:rFonts w:ascii="宋体" w:hAnsi="宋体" w:eastAsia="宋体"/>
          <w:b w:val="0"/>
        </w:rPr>
        <w:t>（四次复核，均 ≥95%，基线 96.2%）。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2239.43（A6b）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2606.56</w:t>
            </w:r>
            <w:r>
              <w:rPr>
                <w:rFonts w:ascii="宋体" w:hAnsi="宋体" w:eastAsia="宋体"/>
                <w:b w:val="0"/>
                <w:sz w:val="18"/>
              </w:rPr>
              <w:t>（B19，页对齐版）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+16.4%</w:t>
            </w:r>
            <w:r>
              <w:rPr>
                <w:rFonts w:ascii="宋体" w:hAnsi="宋体" w:eastAsia="宋体"/>
                <w:b w:val="0"/>
                <w:sz w:val="18"/>
              </w:rPr>
              <w:t>，TPOT 113.6→95.5 ms，TTFT −1.0%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2956.59（A7b）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3541.34</w:t>
            </w:r>
            <w:r>
              <w:rPr>
                <w:rFonts w:ascii="宋体" w:hAnsi="宋体" w:eastAsia="宋体"/>
                <w:b w:val="0"/>
                <w:sz w:val="18"/>
              </w:rPr>
              <w:t>（B20，页对齐版）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+19.8%</w:t>
            </w:r>
            <w:r>
              <w:rPr>
                <w:rFonts w:ascii="宋体" w:hAnsi="宋体" w:eastAsia="宋体"/>
                <w:b w:val="0"/>
                <w:sz w:val="18"/>
              </w:rPr>
              <w:t>，TTFT 155.5→130.1 s，TPOT 153.3→125.6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精度：MATH-500 Level 3 四次复核 </w:t>
      </w:r>
      <w:r>
        <w:rPr>
          <w:rFonts w:ascii="宋体" w:hAnsi="宋体" w:eastAsia="宋体"/>
          <w:b/>
        </w:rPr>
        <w:t>97.1% / 98.1% / 96.2% / 97.1%</w:t>
      </w:r>
      <w:r>
        <w:rPr>
          <w:rFonts w:ascii="宋体" w:hAnsi="宋体" w:eastAsia="宋体"/>
          <w:b w:val="0"/>
        </w:rPr>
        <w:t>（105 题，基线 96.2%），</w:t>
      </w:r>
    </w:p>
    <w:p>
      <w:pPr>
        <w:spacing w:after="100"/>
      </w:pPr>
      <w:r>
        <w:rPr>
          <w:rFonts w:ascii="宋体" w:hAnsi="宋体" w:eastAsia="宋体"/>
          <w:b w:val="0"/>
        </w:rPr>
        <w:t>均 ≥95%；跑间差异来自采样（temperature 1.0 未固定 seed）与段内 fp32 求和顺序的等价扰动</w:t>
      </w:r>
    </w:p>
    <w:p>
      <w:pPr>
        <w:spacing w:after="100"/>
      </w:pPr>
      <w:r>
        <w:rPr>
          <w:rFonts w:ascii="宋体" w:hAnsi="宋体" w:eastAsia="宋体"/>
          <w:b w:val="0"/>
        </w:rPr>
        <w:t>（页对齐与通用分段的 greedy 对拍 4/5 完全一致，第 5 条从 ~30 token 起换措辞）。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>：把 Triton 编出的 Iluvatar 汇编 dump 出来可以看到，</w:t>
      </w:r>
    </w:p>
    <w:p>
      <w:pPr>
        <w:spacing w:after="100"/>
      </w:pPr>
      <w:r>
        <w:rPr>
          <w:rFonts w:ascii="宋体" w:hAnsi="宋体" w:eastAsia="宋体"/>
          <w:b w:val="0"/>
        </w:rPr>
        <w:t>卡上</w:t>
      </w:r>
      <w:r>
        <w:rPr>
          <w:rFonts w:ascii="宋体" w:hAnsi="宋体" w:eastAsia="宋体"/>
          <w:b/>
        </w:rPr>
        <w:t xml:space="preserve">有 bf16 的 </w:t>
      </w:r>
      <w:r>
        <w:rPr>
          <w:rFonts w:ascii="Consolas" w:hAnsi="Consolas" w:eastAsia="Consolas"/>
          <w:b/>
        </w:rPr>
        <w:t>ml_matrix_mad_f32_bf16_m16n16k16</w:t>
      </w:r>
      <w:r>
        <w:rPr>
          <w:rFonts w:ascii="宋体" w:hAnsi="宋体" w:eastAsia="宋体"/>
          <w:b w:val="0"/>
        </w:rPr>
        <w:t>（fp32 累加），QK 与 PV 两个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dot 都落在它上面；代价不在算力，而在 </w:t>
      </w:r>
      <w:r>
        <w:rPr>
          <w:rFonts w:ascii="宋体" w:hAnsi="宋体" w:eastAsia="宋体"/>
          <w:b/>
        </w:rPr>
        <w:t>MMA 累加器布局 → 点积操作数布局的转换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（TTGIR 里是一条 </w:t>
      </w:r>
      <w:r>
        <w:rPr>
          <w:rFonts w:ascii="Consolas" w:hAnsi="Consolas" w:eastAsia="Consolas"/>
          <w:b w:val="0"/>
        </w:rPr>
        <w:t>ttg.convert_layout : #mma -&gt; #ttg.dot_op</w:t>
      </w:r>
      <w:r>
        <w:rPr>
          <w:rFonts w:ascii="宋体" w:hAnsi="宋体" w:eastAsia="宋体"/>
          <w:b w:val="0"/>
        </w:rPr>
        <w:t>，汇编里展开成</w:t>
      </w:r>
    </w:p>
    <w:p>
      <w:pPr>
        <w:spacing w:after="100"/>
      </w:pPr>
      <w:r>
        <w:rPr>
          <w:rFonts w:ascii="Consolas" w:hAnsi="Consolas" w:eastAsia="Consolas"/>
          <w:b w:val="0"/>
        </w:rPr>
        <w:t>ml_lsa_blkload_x1</w:t>
      </w:r>
      <w:r>
        <w:rPr>
          <w:rFonts w:ascii="宋体" w:hAnsi="宋体" w:eastAsia="宋体"/>
          <w:b w:val="0"/>
        </w:rPr>
        <w:t xml:space="preserve">×72 / </w:t>
      </w:r>
      <w:r>
        <w:rPr>
          <w:rFonts w:ascii="Consolas" w:hAnsi="Consolas" w:eastAsia="Consolas"/>
          <w:b w:val="0"/>
        </w:rPr>
        <w:t>ml_slb_load_b32x1</w:t>
      </w:r>
      <w:r>
        <w:rPr>
          <w:rFonts w:ascii="宋体" w:hAnsi="宋体" w:eastAsia="宋体"/>
          <w:b w:val="0"/>
        </w:rPr>
        <w:t xml:space="preserve">×48 / </w:t>
      </w:r>
      <w:r>
        <w:rPr>
          <w:rFonts w:ascii="Consolas" w:hAnsi="Consolas" w:eastAsia="Consolas"/>
          <w:b w:val="0"/>
        </w:rPr>
        <w:t>ml_lsa_store_a64_dword</w:t>
      </w:r>
      <w:r>
        <w:rPr>
          <w:rFonts w:ascii="宋体" w:hAnsi="宋体" w:eastAsia="宋体"/>
          <w:b w:val="0"/>
        </w:rPr>
        <w:t>×32 /</w:t>
      </w:r>
    </w:p>
    <w:p>
      <w:pPr>
        <w:spacing w:after="100"/>
      </w:pPr>
      <w:r>
        <w:rPr>
          <w:rFonts w:ascii="Consolas" w:hAnsi="Consolas" w:eastAsia="Consolas"/>
          <w:b w:val="0"/>
        </w:rPr>
        <w:t>ml_slb_shuffle_rtn_b32</w:t>
      </w:r>
      <w:r>
        <w:rPr>
          <w:rFonts w:ascii="宋体" w:hAnsi="宋体" w:eastAsia="宋体"/>
          <w:b w:val="0"/>
        </w:rPr>
        <w:t xml:space="preserve">×22 / </w:t>
      </w:r>
      <w:r>
        <w:rPr>
          <w:rFonts w:ascii="Consolas" w:hAnsi="Consolas" w:eastAsia="Consolas"/>
          <w:b w:val="0"/>
        </w:rPr>
        <w:t>ml_byte_permute_b32</w:t>
      </w:r>
      <w:r>
        <w:rPr>
          <w:rFonts w:ascii="宋体" w:hAnsi="宋体" w:eastAsia="宋体"/>
          <w:b w:val="0"/>
        </w:rPr>
        <w:t xml:space="preserve">×25 与 6 处 </w:t>
      </w:r>
      <w:r>
        <w:rPr>
          <w:rFonts w:ascii="Consolas" w:hAnsi="Consolas" w:eastAsia="Consolas"/>
          <w:b w:val="0"/>
        </w:rPr>
        <w:t>sl_barrier</w:t>
      </w:r>
      <w:r>
        <w:rPr>
          <w:rFonts w:ascii="宋体" w:hAnsi="宋体" w:eastAsia="宋体"/>
          <w:b w:val="0"/>
        </w:rPr>
        <w:t>）。</w:t>
      </w:r>
    </w:p>
    <w:p>
      <w:pPr>
        <w:spacing w:after="100"/>
      </w:pPr>
      <w:r>
        <w:rPr>
          <w:rFonts w:ascii="宋体" w:hAnsi="宋体" w:eastAsia="宋体"/>
          <w:b w:val="0"/>
        </w:rPr>
        <w:t>实测把 K/V 换成 fp16 并不更快（0.699 vs 0.698 ms/层），确认瓶颈不在 dtype，</w:t>
      </w:r>
    </w:p>
    <w:p>
      <w:pPr>
        <w:spacing w:after="100"/>
      </w:pPr>
      <w:r>
        <w:rPr>
          <w:rFonts w:ascii="宋体" w:hAnsi="宋体" w:eastAsia="宋体"/>
          <w:b w:val="0"/>
        </w:rPr>
        <w:t>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gather，但该 API 要求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>等于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 xml:space="preserve">，与 vLLM 全局池（32603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宋体" w:hAnsi="宋体" w:eastAsia="宋体"/>
          <w:b/>
        </w:rPr>
        <w:t>事后用 CUDA 事件更正了收益判断</w:t>
      </w:r>
      <w:r>
        <w:rPr>
          <w:rFonts w:ascii="宋体" w:hAnsi="宋体" w:eastAsia="宋体"/>
          <w:b w:val="0"/>
        </w:rPr>
        <w:t>：gather 每次仅 0.03–0.05 ms，而 vendor FA</w:t>
      </w:r>
      <w:r>
        <w:rPr>
          <w:rFonts w:ascii="宋体" w:hAnsi="宋体" w:eastAsia="宋体"/>
          <w:b w:val="0"/>
        </w:rPr>
        <w:t xml:space="preserve"> 每次 1.7–3.3 ms，gather 只占 prefill GPU 时间的 </w:t>
      </w:r>
      <w:r>
        <w:rPr>
          <w:rFonts w:ascii="宋体" w:hAnsi="宋体" w:eastAsia="宋体"/>
          <w:b/>
        </w:rPr>
        <w:t>~1.5%</w:t>
      </w:r>
      <w:r>
        <w:rPr>
          <w:rFonts w:ascii="宋体" w:hAnsi="宋体" w:eastAsia="宋体"/>
          <w:b w:val="0"/>
        </w:rPr>
        <w:t>——即便打通也只有</w:t>
      </w:r>
      <w:r>
        <w:rPr>
          <w:rFonts w:ascii="宋体" w:hAnsi="宋体" w:eastAsia="宋体"/>
          <w:b w:val="0"/>
        </w:rPr>
        <w:t xml:space="preserve"> 1–2% 收益。16k 的 prefill 是 FA 计算受限（有效算力 ~115 TFLOPS，接近本卡上限）。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