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B3B" w:rsidRDefault="009A1B0E">
      <w:pPr>
        <w:ind w:firstLineChars="0" w:firstLine="0"/>
        <w:rPr>
          <w:rFonts w:ascii="华文彩云" w:eastAsia="华文彩云"/>
          <w:b/>
          <w:sz w:val="52"/>
          <w:szCs w:val="52"/>
        </w:rPr>
      </w:pPr>
      <w:bookmarkStart w:id="0" w:name="_GoBack"/>
      <w:bookmarkEnd w:id="0"/>
      <w:r>
        <w:rPr>
          <w:rFonts w:ascii="华文彩云" w:eastAsia="华文彩云" w:hint="eastAsia"/>
          <w:b/>
          <w:sz w:val="52"/>
          <w:szCs w:val="52"/>
        </w:rPr>
        <w:t>第</w:t>
      </w:r>
      <w:r>
        <w:rPr>
          <w:rFonts w:ascii="华文彩云" w:eastAsia="华文彩云" w:hint="eastAsia"/>
          <w:b/>
          <w:sz w:val="52"/>
          <w:szCs w:val="52"/>
        </w:rPr>
        <w:t>2</w:t>
      </w:r>
      <w:r>
        <w:rPr>
          <w:rFonts w:ascii="华文彩云" w:eastAsia="华文彩云" w:hint="eastAsia"/>
          <w:b/>
          <w:sz w:val="52"/>
          <w:szCs w:val="52"/>
        </w:rPr>
        <w:t>部分</w:t>
      </w:r>
    </w:p>
    <w:p w:rsidR="00DE1B3B" w:rsidRDefault="009A1B0E">
      <w:pPr>
        <w:ind w:firstLineChars="0" w:firstLine="0"/>
        <w:jc w:val="center"/>
        <w:rPr>
          <w:rFonts w:ascii="华文中宋" w:eastAsia="华文中宋" w:hAnsi="华文中宋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认定要素细目表</w:t>
      </w:r>
    </w:p>
    <w:p w:rsidR="00DE1B3B" w:rsidRDefault="00DE1B3B">
      <w:pPr>
        <w:ind w:firstLineChars="0" w:firstLine="0"/>
      </w:pPr>
    </w:p>
    <w:tbl>
      <w:tblPr>
        <w:tblStyle w:val="3"/>
        <w:tblW w:w="8640" w:type="dxa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640"/>
      </w:tblGrid>
      <w:tr w:rsidR="00DE1B3B">
        <w:trPr>
          <w:trHeight w:val="3645"/>
          <w:jc w:val="center"/>
        </w:trPr>
        <w:tc>
          <w:tcPr>
            <w:tcW w:w="8675" w:type="dxa"/>
            <w:tcBorders>
              <w:tl2br w:val="nil"/>
              <w:tr2bl w:val="nil"/>
            </w:tcBorders>
            <w:shd w:val="clear" w:color="auto" w:fill="FFFFFF"/>
            <w:tcMar>
              <w:top w:w="57" w:type="dxa"/>
              <w:bottom w:w="57" w:type="dxa"/>
            </w:tcMar>
          </w:tcPr>
          <w:p w:rsidR="00DE1B3B" w:rsidRDefault="009A1B0E">
            <w:pPr>
              <w:shd w:val="clear" w:color="auto" w:fill="FFFFFF"/>
              <w:adjustRightInd w:val="0"/>
              <w:snapToGrid w:val="0"/>
              <w:ind w:firstLineChars="0" w:firstLine="0"/>
              <w:jc w:val="center"/>
              <w:rPr>
                <w:rFonts w:ascii="黑体" w:eastAsia="黑体" w:hAnsi="黑体"/>
                <w:spacing w:val="60"/>
                <w:kern w:val="0"/>
                <w:sz w:val="32"/>
                <w:szCs w:val="28"/>
              </w:rPr>
            </w:pPr>
            <w:r>
              <w:rPr>
                <w:rFonts w:ascii="黑体" w:eastAsia="黑体" w:hint="eastAsia"/>
                <w:b/>
                <w:bCs/>
                <w:spacing w:val="60"/>
                <w:sz w:val="28"/>
                <w:szCs w:val="28"/>
              </w:rPr>
              <w:t>理论知识考试要素细目表</w:t>
            </w:r>
          </w:p>
          <w:tbl>
            <w:tblPr>
              <w:tblW w:w="8364" w:type="dxa"/>
              <w:tblInd w:w="15" w:type="dxa"/>
              <w:tblBorders>
                <w:top w:val="single" w:sz="2" w:space="0" w:color="auto"/>
                <w:bottom w:val="single" w:sz="2" w:space="0" w:color="auto"/>
                <w:insideH w:val="single" w:sz="2" w:space="0" w:color="auto"/>
                <w:insideV w:val="single" w:sz="2" w:space="0" w:color="auto"/>
              </w:tblBorders>
              <w:shd w:val="clear" w:color="auto" w:fill="FFFFFF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537"/>
              <w:gridCol w:w="405"/>
              <w:gridCol w:w="409"/>
              <w:gridCol w:w="441"/>
              <w:gridCol w:w="503"/>
              <w:gridCol w:w="3322"/>
              <w:gridCol w:w="606"/>
              <w:gridCol w:w="2141"/>
            </w:tblGrid>
            <w:tr w:rsidR="00DE1B3B">
              <w:trPr>
                <w:trHeight w:val="454"/>
              </w:trPr>
              <w:tc>
                <w:tcPr>
                  <w:tcW w:w="2295" w:type="dxa"/>
                  <w:gridSpan w:val="5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职业（工种）名称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网络与信息安全管理员（信息安全管理员）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等级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三级</w:t>
                  </w: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vMerge w:val="restart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758" w:type="dxa"/>
                  <w:gridSpan w:val="4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细目点代码</w:t>
                  </w:r>
                </w:p>
              </w:tc>
              <w:tc>
                <w:tcPr>
                  <w:tcW w:w="3322" w:type="dxa"/>
                  <w:vMerge w:val="restart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名称·内容</w:t>
                  </w:r>
                </w:p>
              </w:tc>
              <w:tc>
                <w:tcPr>
                  <w:tcW w:w="606" w:type="dxa"/>
                  <w:vMerge w:val="restart"/>
                  <w:tcBorders>
                    <w:tl2br w:val="nil"/>
                    <w:tr2bl w:val="nil"/>
                  </w:tcBorders>
                  <w:shd w:val="clear" w:color="auto" w:fill="FFFFFF" w:themeFill="background1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分数系数</w:t>
                  </w:r>
                </w:p>
              </w:tc>
              <w:tc>
                <w:tcPr>
                  <w:tcW w:w="2141" w:type="dxa"/>
                  <w:vMerge w:val="restart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备注</w:t>
                  </w: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vMerge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</w:tcPr>
                <w:p w:rsidR="00DE1B3B" w:rsidRDefault="00DE1B3B">
                  <w:pPr>
                    <w:shd w:val="clear" w:color="auto" w:fill="D9D9D9"/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章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节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目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/>
                      <w:sz w:val="21"/>
                      <w:szCs w:val="21"/>
                    </w:rPr>
                  </w:pPr>
                  <w:r>
                    <w:rPr>
                      <w:rFonts w:ascii="宋体" w:hAnsi="宋体" w:hint="eastAsia"/>
                      <w:sz w:val="21"/>
                      <w:szCs w:val="21"/>
                    </w:rPr>
                    <w:t>点</w:t>
                  </w:r>
                </w:p>
              </w:tc>
              <w:tc>
                <w:tcPr>
                  <w:tcW w:w="3322" w:type="dxa"/>
                  <w:vMerge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shd w:val="clear" w:color="auto" w:fill="D9D9D9"/>
                    <w:adjustRightInd w:val="0"/>
                    <w:snapToGrid w:val="0"/>
                    <w:spacing w:line="240" w:lineRule="auto"/>
                    <w:ind w:firstLineChars="0" w:firstLine="0"/>
                    <w:rPr>
                      <w:rFonts w:ascii="宋体" w:hAnsi="宋体"/>
                      <w:sz w:val="21"/>
                      <w:szCs w:val="21"/>
                    </w:rPr>
                  </w:pPr>
                </w:p>
              </w:tc>
              <w:tc>
                <w:tcPr>
                  <w:tcW w:w="606" w:type="dxa"/>
                  <w:vMerge/>
                  <w:tcBorders>
                    <w:tl2br w:val="nil"/>
                    <w:tr2bl w:val="nil"/>
                  </w:tcBorders>
                  <w:shd w:val="clear" w:color="auto" w:fill="FFFFFF" w:themeFill="background1"/>
                  <w:vAlign w:val="center"/>
                </w:tcPr>
                <w:p w:rsidR="00DE1B3B" w:rsidRDefault="00DE1B3B">
                  <w:pPr>
                    <w:shd w:val="clear" w:color="auto" w:fill="D9D9D9"/>
                    <w:adjustRightInd w:val="0"/>
                    <w:snapToGrid w:val="0"/>
                    <w:spacing w:line="240" w:lineRule="auto"/>
                    <w:ind w:firstLineChars="0" w:firstLine="0"/>
                    <w:rPr>
                      <w:rFonts w:ascii="宋体" w:hAnsi="宋体"/>
                      <w:sz w:val="21"/>
                      <w:szCs w:val="21"/>
                    </w:rPr>
                  </w:pPr>
                </w:p>
              </w:tc>
              <w:tc>
                <w:tcPr>
                  <w:tcW w:w="2141" w:type="dxa"/>
                  <w:vMerge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left w:w="57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shd w:val="clear" w:color="auto" w:fill="D9D9D9"/>
                    <w:adjustRightInd w:val="0"/>
                    <w:snapToGrid w:val="0"/>
                    <w:spacing w:line="240" w:lineRule="auto"/>
                    <w:ind w:firstLineChars="0" w:firstLine="0"/>
                    <w:rPr>
                      <w:rFonts w:ascii="宋体" w:hAnsi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基本要求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 w:themeFill="background1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职业道德基本知识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职业道德基本知识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职业道德的历史发展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职业道德的基本含义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职业道德的主要内容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信息安全管理员职业道德的基本要求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信息安全管理员职业道德的特点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信息安全管理职业守则的基本要求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职业守则的社会功能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职业守则的制定过程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职业守则的实施与监督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职业技能的内涵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职业守则的相关要求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基础知识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网络安全管理员、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信息安全管理员基础知识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计算机的基本组成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计算机的核心组件的功能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计算机软件的基本概念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计算机软件分类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操作系统分类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用户管理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数据库基本概念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关系型数据库与非关系型数据库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结构化查询语言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SQL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计算机网络的定义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网络协议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组网设备的基础知识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局域网的基础概念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常用网络命令的使用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常用网络故障排查工具的使用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相关法律法规、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管理规定、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标准知识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劳动合同的订立原则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用人单位解雇权的限制情形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劳动关系的概念与特征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劳动保护的法律规定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知识产权法的基本原则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著作权法的保护对象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知识产权的保护措施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网络安全法的实施要点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网络安全法的主要内容和适用范围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网络运营者的安全保障义务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41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网络接入的规范要求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关键信息基础设施的特殊保护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信息安全政策和标准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信息安全政策的定期审查与更新流程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对违反信息安全政策的处理措施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网络与信息安全防护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网络安全防护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交换机安全配置方法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交换机的工作方式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交换机的安全管理方式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交换机端口安全原理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MAC/CAM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MAC/CAM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攻击的防范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交换机抵御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ARP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攻击的应对方法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交换机双映像文件的功能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路由器安全配置方法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路由器的安全管理方式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路由协议的分类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路由协议的原理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访问控制列表的概念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访问控制列表的配置方法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路由器的用户权限管理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动态路由的特点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边界防护设备安全配置方法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边界防护设备的概念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防火墙的分类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防火墙的功能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防火墙的部署方式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64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安全网闸的功能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安全网闸的部署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防火墙的优缺点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入侵检测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/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防御系统知识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入侵检测系统（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IDS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入侵检测系统（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IDS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IDS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IDS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的部署方式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入侵防御系统（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IPS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IDS/IPS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的优缺点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入侵防御方法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无线网络安全配置方法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无线网络安全面临的威胁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AC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的安全配置方法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无线网络的加密方式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无线网络的身份认证方式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无线网络安全的概念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无线网络的链路认证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无线网络的接入认证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网络安全审计设备配置方法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网络安全审计的概念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网络安全审计的功能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安全审计系统的分类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审计设备的部署方式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网络安全审计的技术原理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常见的网络安全审计产品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审计跟踪的概念及意义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系统安全防护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常见恶意代码防范技术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88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恶意代码的危害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恶意代码的特征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恶意代码的隐藏方式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恶意代码的分析方法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恶意代码的清除方法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恶意代码的预防方法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加密文件系统（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EFS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FAT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文件系统的分类和特点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NTFS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文件系统的特点和功能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Ext3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文件系统的特点和功能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网络文件系统的概念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各类文件系统的优缺点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文件系统的功能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系统攻击知识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常见的系统攻击方法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信息收集方法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DoS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和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DDoS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DoS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和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DDoS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攻击的防范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口令攻击的方式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口令攻击的防范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木马攻击的原理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木马攻击的防范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系统安全加固方法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Windows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的账户和口令安全加固方法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Windows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本地安全策略的功能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113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Windows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自带防火墙的管理方式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Windows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系统漏洞的修补方式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Linux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账户和密码安全加固方法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Linux SSH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登录的安全加固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Linux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审计的原理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Linux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应用安全防护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应用安全威胁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应用安全威胁的类型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应用攻击产生的原因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应用攻击产生的危害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应用攻击的防范措施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缓冲区溢出的概念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缓冲区溢出的防范措施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权限提升攻击的概念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权限提升攻击的防范措施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应用安全审计的作用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129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应用安全审计的主要内容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代码审计的概念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代码审计的主要内容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应用安全审计的方法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数据库的安全审计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传输加密知识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传输加密的基本概念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常见对称加密算法及特点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常见非对称加密算法及特点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138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散列函数的概念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139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数字签名的原理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数字证书的功能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数字证书的工作原理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常见的加密通信协议原理（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SSL/TLS/IPSec/SSH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应用防火墙知识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应用防火墙（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）的功能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的工作原理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的安全策略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日志记录与审计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异常行为检测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性能优化与维护更新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149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WAF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部署方式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OWASP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网络与信息安全管理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网络访问权限管理知识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访问控制策略的概念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身份验证机制的概念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基本网络访问控制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网络访问权限的审核与管理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网络访问的隔离与分段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网络访问日志和监控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网络访问权限的合规性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无线网络接入管理知识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无线网络接入技术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159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无线网络认证机制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无线网络加密技术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161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无线网络接入控制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无线网络访问点（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AP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）的配置与管理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无线网络监控与维护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无线网络安全政策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网络设备安全日志管理知识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日志的重要性和用途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日志的生成和配置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日志的存储和保护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169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日志的分析和监控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日志的审核和合规性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日志管理的工具和技术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10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系统安全远程访问方法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远程访问的基本概念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远程访问的基本概念原则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身份认证与授权机制及其工作原理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常见文件加密技术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系统远程访问过程中的加密通信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数据保护的基本原理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常见远程访问网络安全协议与标准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漏洞与风险知识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179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漏洞定义与常见分类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常见漏洞利用原理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漏洞生命周期，以及漏洞评估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常见漏洞扫描与检测工具和技术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漏洞修复与防范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风险定义与风险评估的目的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185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风险识别与分类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系统备份知识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备份的定义与目的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备份方式的分类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数据完整性、一致性的概念和技术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189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版本控制的概念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备份存储介质类型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备份存储介质的特点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RAID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的基本概念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RAID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常见级别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系统日志管理知识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日志管理的重要性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常见日志采集方式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日志采集技术原理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199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日志的分析与利用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常见的日志收集工具配置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日志的隐私保护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应用安全管理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9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互联网应用安全管理知识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应用安全的风险识别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安全开发生命周期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(SDLC)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认证和授权的机制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数据的保护和加密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输入和输出的验证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会话管理的基本概念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网络通信安全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209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漏洞管理和补丁程序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数据过滤概念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数据过滤技术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包过滤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内容过滤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端点过滤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数据过滤规则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数据过滤器配置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数据过滤日志和审计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互联网访问日志管理知识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日志的记录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219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日志的收集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日志的存储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日志的分析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日志的保护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日志的监控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日志的合规性和保留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日志的安全性和隐私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网络与信息安全处置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网络安全事件监控和处置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网络监控方法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网络监控的定义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网络监控的分类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网络监控的使用场景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229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网络监控的部署方法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常见的网络监控硬件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常见的网络监控软件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阻断攻击流量的方法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攻击流量的定义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233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常见的攻击流量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SYN Flood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UDP Flood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ICMP Flood 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攻击的原理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攻击流量的阻断方法分类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网络安全事件处置流程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网络安全事件的发现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239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网络安全事件的评估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网络安全事件的隔离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网络安全事件的信息收集与分析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网络安全事件的响应与处置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网络安全事件的总结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网络恶意扫描的处置方法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系统安全事件监控和处置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计算机病毒处理方法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计算机病毒的传播途径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计算机病毒的特征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249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中计算机病毒的症状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计算机病毒的危害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计算机病毒的处理手段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系统后门处理方法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系统后门的定义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系统后门的类型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系统后门的检测方法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系统后门的清除方法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系统的加固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系统后门的安全审计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258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系统后门的防范方法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计算机病毒样本留存方法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259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计算机病毒样本的作用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计算机病毒样本的常见留存方法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计算机病毒样本的加密隐藏存储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计算机病毒样本的沙盘留存方法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计算机病毒样本的访问权限设置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计算机病毒样本的断网留存方法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计算机病毒样本的留存注意事项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系统安全事件处置流程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系统安全事件处置流程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常见的系统安全事件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恶意软件感染的处置方法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269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数据泄露的处置方法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数据损坏的处置方法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设施设备损坏的处置方法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系统安全事件的预防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应用安全事件监控和处置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日志提取方法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常见的应用程序日志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提取日志的常见方法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数据库的日志提取方法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虚拟化平台的日志提取方法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WEB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服务器的日志提取方法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279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安全设施设备的日志提取方法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日志分析方法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日志分析方法的分类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日志规范化的方法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lastRenderedPageBreak/>
                    <w:t>282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基于访问频率的分析方法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基于特征的日志分析方法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基于统计的日志分析方法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基于关联的日志分析方法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常见的日志分析工具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违法有害信息识别方法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违法有害信息的特点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违法有害信息识别方法的分类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289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违法有害信息的内容分析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违法有害信息的举报途径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291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基于规则的违法有害信息识别方法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292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基于机器学习的违法有害信息识别方法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293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识别违法有害信息的常见技术手段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应用安全事件处置流程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294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应用安全事件的处置流程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295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常见的应用安全事件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296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网页内嵌恶意代码的处置方法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297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SQL</w:t>
                  </w:r>
                  <w:r>
                    <w:rPr>
                      <w:rFonts w:ascii="宋体" w:hAnsi="宋体" w:cs="宋体"/>
                      <w:sz w:val="21"/>
                      <w:szCs w:val="21"/>
                    </w:rPr>
                    <w:t>注入攻击的处置方法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298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非授权访问的处置方法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299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跨站攻击的处置方法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  <w:tr w:rsidR="00DE1B3B">
              <w:trPr>
                <w:trHeight w:val="454"/>
              </w:trPr>
              <w:tc>
                <w:tcPr>
                  <w:tcW w:w="537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300</w:t>
                  </w:r>
                </w:p>
              </w:tc>
              <w:tc>
                <w:tcPr>
                  <w:tcW w:w="405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09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441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03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22" w:type="dxa"/>
                  <w:tcBorders>
                    <w:tl2br w:val="nil"/>
                    <w:tr2bl w:val="nil"/>
                  </w:tcBorders>
                  <w:shd w:val="clear" w:color="auto" w:fill="FFFFFF"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left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会话劫持的处置方法</w:t>
                  </w:r>
                </w:p>
              </w:tc>
              <w:tc>
                <w:tcPr>
                  <w:tcW w:w="606" w:type="dxa"/>
                  <w:tcBorders>
                    <w:tl2br w:val="nil"/>
                    <w:tr2bl w:val="nil"/>
                  </w:tcBorders>
                  <w:shd w:val="clear" w:color="auto" w:fill="FFFFFF"/>
                  <w:vAlign w:val="center"/>
                </w:tcPr>
                <w:p w:rsidR="00DE1B3B" w:rsidRDefault="009A1B0E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cs="宋体"/>
                      <w:sz w:val="21"/>
                      <w:szCs w:val="21"/>
                    </w:rPr>
                    <w:t>0.5</w:t>
                  </w:r>
                </w:p>
              </w:tc>
              <w:tc>
                <w:tcPr>
                  <w:tcW w:w="2141" w:type="dxa"/>
                  <w:tcBorders>
                    <w:tl2br w:val="nil"/>
                    <w:tr2bl w:val="nil"/>
                  </w:tcBorders>
                  <w:shd w:val="clear" w:color="auto" w:fill="FFFFFF"/>
                  <w:noWrap/>
                  <w:tcMar>
                    <w:top w:w="15" w:type="dxa"/>
                    <w:left w:w="57" w:type="dxa"/>
                    <w:bottom w:w="0" w:type="dxa"/>
                    <w:right w:w="57" w:type="dxa"/>
                  </w:tcMar>
                  <w:vAlign w:val="center"/>
                </w:tcPr>
                <w:p w:rsidR="00DE1B3B" w:rsidRDefault="00DE1B3B">
                  <w:pPr>
                    <w:adjustRightInd w:val="0"/>
                    <w:snapToGrid w:val="0"/>
                    <w:spacing w:line="240" w:lineRule="auto"/>
                    <w:ind w:firstLineChars="0" w:firstLine="0"/>
                    <w:jc w:val="center"/>
                    <w:rPr>
                      <w:rFonts w:ascii="宋体" w:hAnsi="宋体" w:cs="宋体"/>
                      <w:sz w:val="21"/>
                      <w:szCs w:val="21"/>
                    </w:rPr>
                  </w:pPr>
                </w:p>
              </w:tc>
            </w:tr>
          </w:tbl>
          <w:p w:rsidR="00DE1B3B" w:rsidRDefault="00DE1B3B">
            <w:pPr>
              <w:spacing w:beforeLines="50" w:before="156"/>
              <w:ind w:firstLineChars="0" w:firstLine="0"/>
              <w:jc w:val="center"/>
              <w:rPr>
                <w:rFonts w:ascii="宋体" w:hAnsi="宋体"/>
                <w:kern w:val="0"/>
                <w:sz w:val="21"/>
                <w:szCs w:val="24"/>
              </w:rPr>
            </w:pPr>
          </w:p>
        </w:tc>
      </w:tr>
    </w:tbl>
    <w:p w:rsidR="00DE1B3B" w:rsidRDefault="00DE1B3B">
      <w:pPr>
        <w:ind w:firstLineChars="0" w:firstLine="0"/>
      </w:pPr>
    </w:p>
    <w:p w:rsidR="00DE1B3B" w:rsidRDefault="009A1B0E">
      <w:pPr>
        <w:shd w:val="clear" w:color="auto" w:fill="FFFFFF"/>
        <w:adjustRightInd w:val="0"/>
        <w:snapToGrid w:val="0"/>
        <w:ind w:firstLineChars="0" w:firstLine="0"/>
        <w:jc w:val="center"/>
        <w:rPr>
          <w:rFonts w:ascii="黑体" w:eastAsia="黑体" w:hAnsi="黑体"/>
          <w:spacing w:val="60"/>
          <w:sz w:val="32"/>
          <w:szCs w:val="28"/>
        </w:rPr>
      </w:pPr>
      <w:r>
        <w:br w:type="page"/>
      </w:r>
      <w:r>
        <w:rPr>
          <w:rFonts w:ascii="黑体" w:eastAsia="黑体" w:hint="eastAsia"/>
          <w:b/>
          <w:bCs/>
          <w:spacing w:val="60"/>
          <w:sz w:val="28"/>
          <w:szCs w:val="28"/>
        </w:rPr>
        <w:lastRenderedPageBreak/>
        <w:t>操作技能认定要素细目表</w:t>
      </w:r>
    </w:p>
    <w:tbl>
      <w:tblPr>
        <w:tblW w:w="7960" w:type="dxa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shd w:val="clear" w:color="auto" w:fill="D9D9D9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72"/>
        <w:gridCol w:w="562"/>
        <w:gridCol w:w="539"/>
        <w:gridCol w:w="540"/>
        <w:gridCol w:w="3508"/>
        <w:gridCol w:w="674"/>
        <w:gridCol w:w="1565"/>
      </w:tblGrid>
      <w:tr w:rsidR="00DE1B3B">
        <w:trPr>
          <w:cantSplit/>
          <w:trHeight w:val="454"/>
          <w:jc w:val="center"/>
        </w:trPr>
        <w:tc>
          <w:tcPr>
            <w:tcW w:w="2213" w:type="dxa"/>
            <w:gridSpan w:val="4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职业（工种）名称</w:t>
            </w:r>
          </w:p>
        </w:tc>
        <w:tc>
          <w:tcPr>
            <w:tcW w:w="3508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网络与信息安全管理员（信息安全管理员）</w:t>
            </w:r>
          </w:p>
        </w:tc>
        <w:tc>
          <w:tcPr>
            <w:tcW w:w="67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等级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三级</w:t>
            </w: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序号</w:t>
            </w:r>
          </w:p>
        </w:tc>
        <w:tc>
          <w:tcPr>
            <w:tcW w:w="1641" w:type="dxa"/>
            <w:gridSpan w:val="3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细目点代码</w:t>
            </w:r>
          </w:p>
        </w:tc>
        <w:tc>
          <w:tcPr>
            <w:tcW w:w="4182" w:type="dxa"/>
            <w:gridSpan w:val="2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名称·内容</w:t>
            </w:r>
          </w:p>
        </w:tc>
        <w:tc>
          <w:tcPr>
            <w:tcW w:w="1565" w:type="dxa"/>
            <w:vMerge w:val="restart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备注</w:t>
            </w: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项目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单元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细目</w:t>
            </w:r>
          </w:p>
        </w:tc>
        <w:tc>
          <w:tcPr>
            <w:tcW w:w="4182" w:type="dxa"/>
            <w:gridSpan w:val="2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565" w:type="dxa"/>
            <w:vMerge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能对企业级交换机、路由器等网络设备进行安全加固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能根据网络安全需求配置防火墙、安全隔离网闸等边界防护设备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能根据网络安全需求配置入侵检测</w:t>
            </w:r>
            <w:r>
              <w:rPr>
                <w:rFonts w:ascii="宋体" w:hAnsi="宋体" w:hint="eastAsia"/>
                <w:sz w:val="21"/>
                <w:szCs w:val="21"/>
              </w:rPr>
              <w:t>/</w:t>
            </w:r>
            <w:r>
              <w:rPr>
                <w:rFonts w:ascii="宋体" w:hAnsi="宋体" w:hint="eastAsia"/>
                <w:sz w:val="21"/>
                <w:szCs w:val="21"/>
              </w:rPr>
              <w:t>防御系统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能配置无线网络安全管理中心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能根据网络安全需求配置网络安全审计设备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能根据系统安全需求合理配置安全策略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能利用系统自带的防火墙制定规则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对网络访问进行控制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能利用补丁、安全策略等对常见恶意代码等进行有效防范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应用安全防护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能根据网络安全需求，实现常见应用的数据加密传输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能部署</w:t>
            </w:r>
            <w:r>
              <w:rPr>
                <w:rFonts w:ascii="宋体" w:hAnsi="宋体" w:hint="eastAsia"/>
                <w:sz w:val="21"/>
                <w:szCs w:val="21"/>
              </w:rPr>
              <w:t>Web</w:t>
            </w:r>
            <w:r>
              <w:rPr>
                <w:rFonts w:ascii="宋体" w:hAnsi="宋体" w:hint="eastAsia"/>
                <w:sz w:val="21"/>
                <w:szCs w:val="21"/>
              </w:rPr>
              <w:t>应用防火墙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对</w:t>
            </w:r>
            <w:r>
              <w:rPr>
                <w:rFonts w:ascii="宋体" w:hAnsi="宋体" w:hint="eastAsia"/>
                <w:sz w:val="21"/>
                <w:szCs w:val="21"/>
              </w:rPr>
              <w:t>Web</w:t>
            </w:r>
            <w:r>
              <w:rPr>
                <w:rFonts w:ascii="宋体" w:hAnsi="宋体" w:hint="eastAsia"/>
                <w:sz w:val="21"/>
                <w:szCs w:val="21"/>
              </w:rPr>
              <w:t>应用进行安全防护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能根据网络安全需求，部署应用安全审计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Style w:val="fontstyle01"/>
                <w:rFonts w:hint="default"/>
              </w:rPr>
              <w:t>网络安全管理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通过防火墙等安全设备进行网络访问控制管理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能根据网络安全需求，对各类终端接入无线网络进行管理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能安全管理各类边界设备、网络节点的远程访问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能根据国家相关规定，正确留存网络设备安全日志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能根据系统安全需求实现安全远程访问管理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lastRenderedPageBreak/>
              <w:t>17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能发现系统漏洞和风险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并进行安全管理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能根据系统要求管理备份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19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能根据国家相关规定管理系统日志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能根据国家相关规定，对系统进行正确备案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应用安全管理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能根据国家相关规定履行网络安全义务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安全管理互联网应用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能利用安全设备及工具对垃圾邮件等有害数据进行过滤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能根据国家相关规定管理、审计互联网访问日志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网络与信息安全处置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网络安全事件监控和处置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能利用防火墙、入侵检测等设备监控网络数据流量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识别攻击特征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25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能对攻击流量进行有效阻断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26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能有效留存日志记录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并进行上报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系统安全事件监控和处置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27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能有效识别、隔离被入侵或感染病毒的计算机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28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能识别系统异常状态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利用工具清除系统后门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29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能检测系统异常状态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恢复系统正常状态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30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能有效留存计算机病毒、系统后门等样本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并进行上报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应用安全事件监控和处置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31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能提取数据库、</w:t>
            </w:r>
            <w:r>
              <w:rPr>
                <w:rFonts w:ascii="宋体" w:hAnsi="宋体" w:hint="eastAsia"/>
                <w:sz w:val="21"/>
                <w:szCs w:val="21"/>
              </w:rPr>
              <w:t>Web</w:t>
            </w:r>
            <w:r>
              <w:rPr>
                <w:rFonts w:ascii="宋体" w:hAnsi="宋体" w:hint="eastAsia"/>
                <w:sz w:val="21"/>
                <w:szCs w:val="21"/>
              </w:rPr>
              <w:t>服务等应用访问日志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能对日志进行简单分析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识别并定位事件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33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能识别违法有害信息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并进行处置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  <w:tr w:rsidR="00DE1B3B">
        <w:trPr>
          <w:cantSplit/>
          <w:trHeight w:val="454"/>
          <w:jc w:val="center"/>
        </w:trPr>
        <w:tc>
          <w:tcPr>
            <w:tcW w:w="5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34</w:t>
            </w:r>
          </w:p>
        </w:tc>
        <w:tc>
          <w:tcPr>
            <w:tcW w:w="5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3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18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9A1B0E">
            <w:pPr>
              <w:adjustRightInd w:val="0"/>
              <w:snapToGrid w:val="0"/>
              <w:spacing w:line="240" w:lineRule="auto"/>
              <w:ind w:firstLineChars="0" w:firstLine="0"/>
              <w:jc w:val="left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能有效留存记录及证据</w:t>
            </w:r>
            <w:r>
              <w:rPr>
                <w:rFonts w:ascii="宋体" w:hAnsi="宋体" w:hint="eastAsia"/>
                <w:sz w:val="21"/>
                <w:szCs w:val="21"/>
              </w:rPr>
              <w:t>,</w:t>
            </w:r>
            <w:r>
              <w:rPr>
                <w:rFonts w:ascii="宋体" w:hAnsi="宋体" w:hint="eastAsia"/>
                <w:sz w:val="21"/>
                <w:szCs w:val="21"/>
              </w:rPr>
              <w:t>并进行上报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DE1B3B" w:rsidRDefault="00DE1B3B">
            <w:pPr>
              <w:adjustRightInd w:val="0"/>
              <w:snapToGrid w:val="0"/>
              <w:spacing w:line="240" w:lineRule="auto"/>
              <w:ind w:firstLineChars="0" w:firstLine="0"/>
              <w:rPr>
                <w:rFonts w:ascii="宋体" w:hAnsi="宋体"/>
                <w:sz w:val="21"/>
                <w:szCs w:val="21"/>
              </w:rPr>
            </w:pPr>
          </w:p>
        </w:tc>
      </w:tr>
    </w:tbl>
    <w:p w:rsidR="00DE1B3B" w:rsidRDefault="00DE1B3B">
      <w:pPr>
        <w:ind w:firstLineChars="0" w:firstLine="0"/>
      </w:pPr>
    </w:p>
    <w:sectPr w:rsidR="00DE1B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B0E" w:rsidRDefault="009A1B0E">
      <w:pPr>
        <w:spacing w:line="240" w:lineRule="auto"/>
        <w:ind w:firstLine="480"/>
      </w:pPr>
      <w:r>
        <w:separator/>
      </w:r>
    </w:p>
  </w:endnote>
  <w:endnote w:type="continuationSeparator" w:id="0">
    <w:p w:rsidR="009A1B0E" w:rsidRDefault="009A1B0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altName w:val="华文中宋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B0E" w:rsidRDefault="009A1B0E">
      <w:pPr>
        <w:ind w:firstLine="480"/>
      </w:pPr>
      <w:r>
        <w:separator/>
      </w:r>
    </w:p>
  </w:footnote>
  <w:footnote w:type="continuationSeparator" w:id="0">
    <w:p w:rsidR="009A1B0E" w:rsidRDefault="009A1B0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B3B" w:rsidRDefault="00DE1B3B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6D200E"/>
    <w:rsid w:val="000236EA"/>
    <w:rsid w:val="00025097"/>
    <w:rsid w:val="000B22DA"/>
    <w:rsid w:val="000C6A60"/>
    <w:rsid w:val="0012104A"/>
    <w:rsid w:val="00135DB5"/>
    <w:rsid w:val="001448E3"/>
    <w:rsid w:val="0017449C"/>
    <w:rsid w:val="001845C8"/>
    <w:rsid w:val="001B71BE"/>
    <w:rsid w:val="001D2ED9"/>
    <w:rsid w:val="00250D88"/>
    <w:rsid w:val="00280A01"/>
    <w:rsid w:val="002F4102"/>
    <w:rsid w:val="00390F83"/>
    <w:rsid w:val="003A6DBA"/>
    <w:rsid w:val="003F3BA8"/>
    <w:rsid w:val="00431282"/>
    <w:rsid w:val="00443C73"/>
    <w:rsid w:val="004A5813"/>
    <w:rsid w:val="004D3222"/>
    <w:rsid w:val="004E54CD"/>
    <w:rsid w:val="00506043"/>
    <w:rsid w:val="00514989"/>
    <w:rsid w:val="00524D3C"/>
    <w:rsid w:val="005279DA"/>
    <w:rsid w:val="00540CB4"/>
    <w:rsid w:val="00543ECC"/>
    <w:rsid w:val="005805F2"/>
    <w:rsid w:val="005A6F3F"/>
    <w:rsid w:val="005B6E17"/>
    <w:rsid w:val="005D479A"/>
    <w:rsid w:val="00674083"/>
    <w:rsid w:val="00674348"/>
    <w:rsid w:val="00680B17"/>
    <w:rsid w:val="006C3D30"/>
    <w:rsid w:val="006D200E"/>
    <w:rsid w:val="006D2CD9"/>
    <w:rsid w:val="006D52C7"/>
    <w:rsid w:val="006E5BB7"/>
    <w:rsid w:val="00705DC0"/>
    <w:rsid w:val="007231A5"/>
    <w:rsid w:val="00756013"/>
    <w:rsid w:val="007A631D"/>
    <w:rsid w:val="00864354"/>
    <w:rsid w:val="008930B1"/>
    <w:rsid w:val="008E571F"/>
    <w:rsid w:val="009557BA"/>
    <w:rsid w:val="00977824"/>
    <w:rsid w:val="00982B09"/>
    <w:rsid w:val="009A1B0E"/>
    <w:rsid w:val="009C6CA7"/>
    <w:rsid w:val="00A13D93"/>
    <w:rsid w:val="00A2158D"/>
    <w:rsid w:val="00A320A4"/>
    <w:rsid w:val="00A44E1F"/>
    <w:rsid w:val="00AB40C6"/>
    <w:rsid w:val="00B00B12"/>
    <w:rsid w:val="00B340E1"/>
    <w:rsid w:val="00B34542"/>
    <w:rsid w:val="00BC03C2"/>
    <w:rsid w:val="00BD6043"/>
    <w:rsid w:val="00BF5B23"/>
    <w:rsid w:val="00C04B57"/>
    <w:rsid w:val="00C129E2"/>
    <w:rsid w:val="00C305CD"/>
    <w:rsid w:val="00C30DAA"/>
    <w:rsid w:val="00C42BFC"/>
    <w:rsid w:val="00CA66F9"/>
    <w:rsid w:val="00CF0FEA"/>
    <w:rsid w:val="00D24DAB"/>
    <w:rsid w:val="00DE1B3B"/>
    <w:rsid w:val="00DF5D3A"/>
    <w:rsid w:val="00E15564"/>
    <w:rsid w:val="00F044A0"/>
    <w:rsid w:val="00F059AB"/>
    <w:rsid w:val="00F67377"/>
    <w:rsid w:val="00FF1A55"/>
    <w:rsid w:val="00FF65E5"/>
    <w:rsid w:val="0AF72DF3"/>
    <w:rsid w:val="4EDD6710"/>
    <w:rsid w:val="6835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A9E459E-5F9B-4B63-8F62-E17DA3B9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3"/>
      <w:jc w:val="both"/>
    </w:pPr>
    <w:rPr>
      <w:rFonts w:ascii="Times New Roman" w:eastAsia="宋体" w:hAnsi="Times New Roman" w:cs="Times New Roman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footnote reference"/>
    <w:semiHidden/>
    <w:unhideWhenUsed/>
    <w:qFormat/>
    <w:rPr>
      <w:vertAlign w:val="superscript"/>
    </w:rPr>
  </w:style>
  <w:style w:type="table" w:customStyle="1" w:styleId="3">
    <w:name w:val="网格型3"/>
    <w:basedOn w:val="a1"/>
    <w:autoRedefine/>
    <w:uiPriority w:val="99"/>
    <w:qFormat/>
    <w:pPr>
      <w:widowControl w:val="0"/>
      <w:jc w:val="both"/>
    </w:pPr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1671</Words>
  <Characters>9530</Characters>
  <Application>Microsoft Office Word</Application>
  <DocSecurity>0</DocSecurity>
  <Lines>79</Lines>
  <Paragraphs>22</Paragraphs>
  <ScaleCrop>false</ScaleCrop>
  <Company>微软中国</Company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JDZX057091</dc:creator>
  <cp:lastModifiedBy>admin</cp:lastModifiedBy>
  <cp:revision>5</cp:revision>
  <dcterms:created xsi:type="dcterms:W3CDTF">2024-06-10T03:10:00Z</dcterms:created>
  <dcterms:modified xsi:type="dcterms:W3CDTF">2026-01-15T09:11:00Z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A9EF9F1165934B91BD695DD3D319C680_12</vt:lpwstr>
  </property>
</Properties>
</file>