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65CF8" w14:textId="77777777" w:rsidR="005C2B2A" w:rsidRPr="005C2B2A" w:rsidRDefault="005C2B2A" w:rsidP="005C2B2A">
      <w:pPr>
        <w:spacing w:line="480" w:lineRule="auto"/>
        <w:jc w:val="center"/>
      </w:pPr>
      <w:r>
        <w:rPr>
          <w:rFonts w:ascii="Times New Roman" w:hAnsi="Times New Roman"/>
          <w:b/>
          <w:sz w:val="32"/>
        </w:rPr>
        <w:t>Constitutive Filters and Differential Reception:</w:t>
      </w:r>
    </w:p>
    <w:p w14:paraId="3CF98EBB" w14:textId="77777777" w:rsidR="005C2B2A" w:rsidRPr="005C2B2A" w:rsidRDefault="005C2B2A" w:rsidP="005C2B2A">
      <w:pPr>
        <w:spacing w:line="480" w:lineRule="auto"/>
      </w:pPr>
    </w:p>
    <w:p w14:paraId="4CE56058" w14:textId="77777777" w:rsidR="005C2B2A" w:rsidRPr="005C2B2A" w:rsidRDefault="005C2B2A" w:rsidP="005C2B2A">
      <w:pPr>
        <w:spacing w:line="480" w:lineRule="auto"/>
        <w:jc w:val="center"/>
      </w:pPr>
      <w:r>
        <w:rPr>
          <w:rFonts w:ascii="Times New Roman" w:hAnsi="Times New Roman"/>
          <w:b/>
          <w:sz w:val="32"/>
        </w:rPr>
        <w:t xml:space="preserve">Schelling’s </w:t>
      </w:r>
      <w:r>
        <w:rPr>
          <w:rFonts w:ascii="Times New Roman" w:hAnsi="Times New Roman"/>
          <w:b/>
          <w:sz w:val="32"/>
          <w:i/>
          <w:iCs/>
        </w:rPr>
        <w:t>Naturphilosophie</w:t>
      </w:r>
      <w:r>
        <w:rPr>
          <w:rFonts w:ascii="Times New Roman" w:hAnsi="Times New Roman"/>
          <w:b/>
          <w:sz w:val="32"/>
        </w:rPr>
        <w:t xml:space="preserve"> and the</w:t>
      </w:r>
    </w:p>
    <w:p w14:paraId="16ADE397" w14:textId="77777777" w:rsidR="005C2B2A" w:rsidRPr="005C2B2A" w:rsidRDefault="005C2B2A" w:rsidP="005C2B2A">
      <w:pPr>
        <w:spacing w:line="480" w:lineRule="auto"/>
      </w:pPr>
    </w:p>
    <w:p w14:paraId="2800E69B" w14:textId="77777777" w:rsidR="005C2B2A" w:rsidRPr="005C2B2A" w:rsidRDefault="005C2B2A" w:rsidP="005C2B2A">
      <w:pPr>
        <w:spacing w:line="480" w:lineRule="auto"/>
        <w:jc w:val="center"/>
      </w:pPr>
      <w:r>
        <w:rPr>
          <w:rFonts w:ascii="Times New Roman" w:hAnsi="Times New Roman"/>
          <w:b/>
          <w:sz w:val="32"/>
        </w:rPr>
        <w:t>1820 Electromagnetic Discovery</w:t>
      </w:r>
    </w:p>
    <w:p w14:paraId="459B9E7A" w14:textId="77777777" w:rsidR="005C2B2A" w:rsidRPr="005C2B2A" w:rsidRDefault="005C2B2A" w:rsidP="005C2B2A">
      <w:pPr>
        <w:spacing w:line="480" w:lineRule="auto"/>
      </w:pPr>
    </w:p>
    <w:p w14:paraId="7E1B83CF" w14:textId="77777777" w:rsidR="005C2B2A" w:rsidRPr="005C2B2A" w:rsidRDefault="005C2B2A" w:rsidP="005C2B2A">
      <w:pPr>
        <w:pStyle w:val="1"/>
        <w:spacing w:line="480" w:lineRule="auto"/>
      </w:pPr>
      <w:r>
        <w:rPr>
          <w:rFonts w:ascii="Times New Roman" w:hAnsi="Times New Roman"/>
          <w:b/>
          <w:sz w:val="28"/>
        </w:rPr>
        <w:t>Chapter 1: Introduction — Impasse Structure</w:t>
      </w:r>
    </w:p>
    <w:p w14:paraId="009CA612" w14:textId="77777777" w:rsidR="005C2B2A" w:rsidRPr="005C2B2A" w:rsidRDefault="005C2B2A" w:rsidP="005C2B2A">
      <w:pPr>
        <w:spacing w:line="480" w:lineRule="auto"/>
      </w:pPr>
    </w:p>
    <w:p w14:paraId="149BBC69" w14:textId="77777777" w:rsidR="005C2B2A" w:rsidRPr="005C2B2A" w:rsidRDefault="005C2B2A" w:rsidP="005C2B2A">
      <w:pPr>
        <w:pStyle w:val="2"/>
        <w:spacing w:line="480" w:lineRule="auto"/>
      </w:pPr>
      <w:r>
        <w:rPr>
          <w:rFonts w:ascii="Times New Roman" w:hAnsi="Times New Roman"/>
          <w:b/>
          <w:sz w:val="24"/>
        </w:rPr>
        <w:t>§1.1 The question and what is at stake</w:t>
      </w:r>
    </w:p>
    <w:p w14:paraId="3597C0A5" w14:textId="77777777" w:rsidR="005C2B2A" w:rsidRPr="005C2B2A" w:rsidRDefault="005C2B2A" w:rsidP="005C2B2A">
      <w:pPr>
        <w:spacing w:line="480" w:lineRule="auto"/>
      </w:pPr>
    </w:p>
    <w:p w14:paraId="19C63746" w14:textId="77777777" w:rsidR="005C2B2A" w:rsidRPr="005C2B2A" w:rsidRDefault="005C2B2A" w:rsidP="005C2B2A">
      <w:pPr>
        <w:spacing w:line="480" w:lineRule="auto"/>
      </w:pPr>
      <w:r>
        <w:t xml:space="preserve">In 1820, Hans Christian Ørsted reported that an electric current deflects a magnetic needle—an observation that rearranged the trajectory of nineteenth-century physics. Stauffer (1957, p. 33) claimed this represented “a fertile union of speculation and experiment,” and Williams (1965; 1966) pushed the argument further: electromagnetic theory constituted “a profound deviation from the Newtonian tradition” traceable to </w:t>
      </w:r>
      <w:r>
        <w:rPr>
          <w:i/>
        </w:rPr>
        <w:t>Naturphilosophie</w:t>
      </w:r>
      <w:r>
        <w:t>. If correct, Schelling’s philosophy of nature served not as ornamental backdrop but as a constitutive element in electromagnetic science.</w:t>
      </w:r>
    </w:p>
    <w:p>
      <w:pPr>
        <w:spacing w:line="480" w:lineRule="auto"/>
      </w:pPr>
      <w:r>
        <w:t>The issue, however, is not whether Schelling had entered the intellectual air of Ritter and Ørsted—there is broad consensus on that—but whether and how those ideas were structurally assimilated into the shaping of their empirical investigations. The difference between presence and uptake is decisive: Schelling’s programme produced structurally different work depending on the prior philosophical commitments of the receiving scientist. The influence was genuine but asymmetrical—deeper in Ritter, mediated through Kantian epistemology in Ørsted. In both cases, direction of research—which questions and force-connections each scientist considered promising—proved to be where influence acted most strongly, rather than at the level of how one conducts experiments, what counts as evidence, and which principles ground inquiry metaphysically.</w:t>
      </w:r>
    </w:p>
    <w:p>
      <w:pPr>
        <w:spacing w:line="480" w:lineRule="auto"/>
      </w:pPr>
      <w:r>
        <w:t xml:space="preserve">The period in question—approximately 1797 to 1820—includes Schelling’s earliest systematic natural philosophy, Ritter’s best experimental work, and Ørsted’s decades-long exploration of the electricity–magnetism connection.</w:t>
      </w:r>
    </w:p>
    <w:p w14:paraId="64433292" w14:textId="77777777" w:rsidR="005C2B2A" w:rsidRPr="005C2B2A" w:rsidRDefault="005C2B2A" w:rsidP="005C2B2A">
      <w:pPr>
        <w:spacing w:line="480" w:lineRule="auto"/>
      </w:pPr>
    </w:p>
    <w:p w14:paraId="00F80972" w14:textId="77777777" w:rsidR="005C2B2A" w:rsidRPr="005C2B2A" w:rsidRDefault="005C2B2A" w:rsidP="005C2B2A">
      <w:pPr>
        <w:pStyle w:val="2"/>
        <w:spacing w:line="480" w:lineRule="auto"/>
      </w:pPr>
      <w:r>
        <w:rPr>
          <w:rFonts w:ascii="Times New Roman" w:hAnsi="Times New Roman"/>
          <w:b/>
          <w:sz w:val="24"/>
        </w:rPr>
        <w:t>§1.2 The impasse</w:t>
      </w:r>
    </w:p>
    <w:p w14:paraId="468F1E4D" w14:textId="77777777" w:rsidR="005C2B2A" w:rsidRPr="005C2B2A" w:rsidRDefault="005C2B2A" w:rsidP="005C2B2A">
      <w:pPr>
        <w:spacing w:line="480" w:lineRule="auto"/>
      </w:pPr>
    </w:p>
    <w:p w14:paraId="7B8A392D" w14:textId="77777777" w:rsidR="005C2B2A" w:rsidRPr="005C2B2A" w:rsidRDefault="005C2B2A" w:rsidP="005C2B2A">
      <w:pPr>
        <w:spacing w:line="480" w:lineRule="auto"/>
      </w:pPr>
      <w:r>
        <w:rPr>
          <w:rFonts w:ascii="Times New Roman" w:hAnsi="Times New Roman"/>
          <w:sz w:val="24"/>
        </w:rPr>
        <w:t xml:space="preserve">One can see the contours of an academic debate. On one side are Stauffer’s and Williams’ thesis (1957–1966), which ascribed a productive, enabling role in the development of electromagnetic science to </w:t>
      </w:r>
      <w:r>
        <w:rPr>
          <w:rFonts w:ascii="Times New Roman" w:hAnsi="Times New Roman"/>
          <w:sz w:val="24"/>
          <w:i/>
        </w:rPr>
        <w:t>Naturphilosophie</w:t>
      </w:r>
      <w:r>
        <w:rPr>
          <w:rFonts w:ascii="Times New Roman" w:hAnsi="Times New Roman"/>
          <w:sz w:val="24"/>
        </w:rPr>
        <w:t xml:space="preserve"> — Ørsted’s discovery was the fruit of a philosophically directed search for force-connections. On the other is a Shanahan-Wilson correction: according to which Shanahan (1989, pp. 287–289) maintained that Ørsted’s experimental manoeuvres were licensed not by Schellingian speculation but rather by Kant’s distinction between constitutive and regulative principles and Wilson (2007), that Ørsted owed more philosophically “primarily to Kant.” But the Shanahan-Wilson critique threatens to overcorrect. If Kant provided the epistemological foundations, Schelling provided what Kant’s more reticent system could not: a concrete programmatic vision according to which all of the natural forces are expressions of a single underlying productivity, convertible into each other and experimentally demonstrable as such. It was this programmatic vision—not Kant's regulative ideals alone—that sustained Ørsted's two-decade search. The connection between electricity and magnetism, as it would turn out, was precisely the deeper relation that the programme had specified.</w:t>
      </w:r>
    </w:p>
    <w:p w14:paraId="00C06A6A" w14:textId="77777777" w:rsidR="005C2B2A" w:rsidRPr="005C2B2A" w:rsidRDefault="005C2B2A" w:rsidP="005C2B2A">
      <w:pPr>
        <w:spacing w:line="480" w:lineRule="auto"/>
      </w:pPr>
    </w:p>
    <w:p w14:paraId="70BF09BF" w14:textId="77777777" w:rsidR="005C2B2A" w:rsidRPr="005C2B2A" w:rsidRDefault="005C2B2A" w:rsidP="005C2B2A">
      <w:pPr>
        <w:spacing w:line="480" w:lineRule="auto"/>
      </w:pPr>
      <w:r>
        <w:rPr>
          <w:rFonts w:ascii="Times New Roman" w:hAnsi="Times New Roman"/>
          <w:sz w:val="24"/>
        </w:rPr>
        <w:t xml:space="preserve">But both camps share an unquestioned presupposition: that “influence” is a binary relation rather than a differentiated phenomenon to which degrees, levels, and channels are relevant. The Stauffer–Williams thesis does not distinguish the presence of philosophical ideas from their uptake into the structure of inquiry; the Shanahan–Wilson critique makes a Kantian rival explanation sufficient to rule out Schelling’s contribution. Caneva (1997) identifies the structural dilemma: historiography has oscillated between treating </w:t>
      </w:r>
      <w:r>
        <w:rPr>
          <w:rFonts w:ascii="Times New Roman" w:hAnsi="Times New Roman"/>
          <w:sz w:val="24"/>
          <w:i/>
          <w:iCs/>
        </w:rPr>
        <w:t>Naturphilosophie</w:t>
      </w:r>
      <w:r>
        <w:rPr>
          <w:rFonts w:ascii="Times New Roman" w:hAnsi="Times New Roman"/>
          <w:sz w:val="24"/>
        </w:rPr>
        <w:t xml:space="preserve"> as productive catalyst or obstructive metaphysics. The impasse registers a deeper philosophical instability: the tension between constitutive and regulative principles running through post-Kantian natural philosophy. Berger (2024, p. 571) attests that the debate is alive, claiming Ørsted’s discovery “was owed in part to Schelling’s account of the relationship between magnetism and electricity”—a claim whose precision this dissertation seeks to hone. The way out requires exposing that the distinction on which both camps rely was itself a locus of philosophical crisis in Kant’s thought, and that it structured a differential reception whose contours require explanation.</w:t>
      </w:r>
    </w:p>
    <w:p w14:paraId="6BE5C8CA" w14:textId="77777777" w:rsidR="005C2B2A" w:rsidRPr="005C2B2A" w:rsidRDefault="005C2B2A" w:rsidP="005C2B2A">
      <w:pPr>
        <w:spacing w:line="480" w:lineRule="auto"/>
      </w:pPr>
    </w:p>
    <w:p w14:paraId="6954E20B" w14:textId="77777777" w:rsidR="005C2B2A" w:rsidRPr="005C2B2A" w:rsidRDefault="005C2B2A" w:rsidP="005C2B2A">
      <w:pPr>
        <w:pStyle w:val="2"/>
        <w:spacing w:line="480" w:lineRule="auto"/>
      </w:pPr>
      <w:r>
        <w:rPr>
          <w:rFonts w:ascii="Times New Roman" w:hAnsi="Times New Roman"/>
          <w:b/>
          <w:sz w:val="24"/>
        </w:rPr>
        <w:lastRenderedPageBreak/>
        <w:t>§1.3 The dissertation's path</w:t>
      </w:r>
    </w:p>
    <w:p w14:paraId="7870B927" w14:textId="77777777" w:rsidR="005C2B2A" w:rsidRPr="005C2B2A" w:rsidRDefault="005C2B2A" w:rsidP="005C2B2A">
      <w:pPr>
        <w:spacing w:line="480" w:lineRule="auto"/>
      </w:pPr>
    </w:p>
    <w:p w14:paraId="177C025C" w14:textId="77777777" w:rsidR="005C2B2A" w:rsidRPr="005C2B2A" w:rsidRDefault="005C2B2A" w:rsidP="005C2B2A">
      <w:pPr>
        <w:spacing w:line="480" w:lineRule="auto"/>
      </w:pPr>
      <w:r>
        <w:rPr>
          <w:rFonts w:ascii="Times New Roman" w:hAnsi="Times New Roman"/>
          <w:sz w:val="24"/>
        </w:rPr>
        <w:t xml:space="preserve">This dissertation inquires: what was the modulating effect of the constitutive/regulative tension internal to post-Kantian natural philosophy on the differential reception of Schelling’s </w:t>
      </w:r>
      <w:r>
        <w:rPr>
          <w:rFonts w:ascii="Times New Roman" w:hAnsi="Times New Roman"/>
          <w:sz w:val="24"/>
          <w:i/>
        </w:rPr>
        <w:t>Naturphilosophie</w:t>
      </w:r>
      <w:r>
        <w:rPr>
          <w:rFonts w:ascii="Times New Roman" w:hAnsi="Times New Roman"/>
          <w:sz w:val="24"/>
        </w:rPr>
        <w:t xml:space="preserve"> in Ritter and Ørsted’s experimental practices (1797–1820)? The argument proceeds as follows. Chapter 2 reconstructs Schelling’s </w:t>
      </w:r>
      <w:r>
        <w:rPr>
          <w:rFonts w:ascii="Times New Roman" w:hAnsi="Times New Roman"/>
          <w:sz w:val="24"/>
          <w:i/>
        </w:rPr>
        <w:t>Einleitung</w:t>
      </w:r>
      <w:r>
        <w:rPr>
          <w:rFonts w:ascii="Times New Roman" w:hAnsi="Times New Roman"/>
          <w:sz w:val="24"/>
        </w:rPr>
        <w:t xml:space="preserve"> of 1799 as a coherent research programme whose philosophical necessity emerges from Kant’s own unresolved Übergang problem. Chapter 3 traces the historiographic terrain and shows how the constitutive/regulative tension dissolves the influence binary. Chapter 4 examines Ritter, where the constitutive/regulative filter was essentially absent, allowing deep structural uptake at the inquiry-conception level. Chapter 5 turns to Ørsted, where a strong Kantian filter confined uptake to the heuristic-programmatic level. Chapter 6 makes the structural comparison: the same programme, passing through two differently constituted epistemic filters produced a consistent pattern of reception that correlated with filter-strength. — weak filtration permitted deep structural uptake; strong filtration confined uptake to the programmatic level. This pattern — not “influence” </w:t>
      </w:r>
      <w:r>
        <w:rPr>
          <w:rFonts w:ascii="Times New Roman" w:hAnsi="Times New Roman"/>
          <w:sz w:val="24"/>
          <w:i/>
        </w:rPr>
        <w:t>simpliciter</w:t>
      </w:r>
      <w:r>
        <w:rPr>
          <w:rFonts w:ascii="Times New Roman" w:hAnsi="Times New Roman"/>
          <w:sz w:val="24"/>
        </w:rPr>
        <w:t xml:space="preserve"> — is the dissertation’s main finding, and its identification breaks the historiographic impasse in showing that either side of the debate follows a different scale of the same differentiated phenomenon. To query how reception was organized, we must first reconstruct what was available to be received. Chapter 2 undertakes this task.</w:t>
      </w:r>
      <w:r/>
    </w:p>
    <w:p w14:paraId="0B733A33" w14:textId="77777777" w:rsidR="005C2B2A" w:rsidRPr="005C2B2A" w:rsidRDefault="005C2B2A" w:rsidP="005C2B2A">
      <w:pPr>
        <w:spacing w:line="480" w:lineRule="auto"/>
      </w:pPr>
    </w:p>
    <w:p w14:paraId="5E8C6189" w14:textId="77777777" w:rsidR="005C2B2A" w:rsidRPr="005C2B2A" w:rsidRDefault="005C2B2A" w:rsidP="005C2B2A">
      <w:pPr>
        <w:spacing w:line="480" w:lineRule="auto"/>
      </w:pPr>
      <w:r>
        <w:rPr>
          <w:rFonts w:ascii="Times New Roman" w:hAnsi="Times New Roman"/>
          <w:sz w:val="24"/>
        </w:rPr>
        <w:t>A note of methodological caution is in order. As an analytical device, the constitutive/regulative filter risks circularity: it seems to characterize levels of reception by what the filter excludes, then infers filter-strength from observed reception levels. The dissertation mitigates this risk by showing the filter is present in independent evidence — Ørsted’s well-documented study of Kant’s natural metaphysics, his explicit critical engagement with Schellingian metaphysical claims and the textual record of his Kantian philosophical formation — as distinct from inferring its presence solely from the mapping of its reception pattern it was invoked to render explanatory. The filter is not a theoretical posit but an historically attested feature of the receiving context, whose ensuing consequences for reception are then tracked.</w:t>
      </w:r>
    </w:p>
    <w:p w14:paraId="4A86A8A6" w14:textId="77777777" w:rsidR="005C2B2A" w:rsidRPr="005C2B2A" w:rsidRDefault="005C2B2A" w:rsidP="005C2B2A">
      <w:pPr>
        <w:spacing w:line="480" w:lineRule="auto"/>
      </w:pPr>
    </w:p>
    <w:p/>
    <w:p>
      <w:pPr>
        <w:pStyle w:val="2"/>
      </w:pPr>
      <w:r>
        <w:t>§1.4 Methodology: Comparative Reception Analysis</w:t>
      </w:r>
    </w:p>
    <w:p/>
    <w:p>
      <w:pPr/>
      <w:r>
        <w:rPr>
          <w:rFonts w:ascii="Times New Roman" w:hAnsi="Times New Roman"/>
          <w:sz w:val="24"/>
        </w:rPr>
        <w:t>The dissertation employs a form of comparative reception analysis informed by the Begriffsgeschichte tradition’s sensitivity to conceptual transformation — its insistence that the “same” term can carry incompatible conceptual loads across different contexts of use. It does not, however, perform a full-scale conceptual history in Koselleck’s sense, which would require tracking semantic shifts across large temporal horizons. Rather, it traces how a single unstable Kantian distinction — the constitutive/regulative — structured the differential reception of Schelling’s programme in two contemporaneous but philosophically divergent contexts. The method is closer to philosophical genealogy: reconstructing the conditions under which a distinction became operative, and then following the divergent epistemic consequences of its differential deployment.</w:t>
      </w:r>
    </w:p>
    <w:p/>
    <w:p w14:paraId="57DFAEB5" w14:textId="77777777" w:rsidR="005C2B2A" w:rsidRPr="005C2B2A" w:rsidRDefault="005C2B2A" w:rsidP="005C2B2A">
      <w:pPr>
        <w:spacing w:line="480" w:lineRule="auto"/>
      </w:pPr>
    </w:p>
    <w:p w14:paraId="3B3E2FD1" w14:textId="77777777" w:rsidR="005C2B2A" w:rsidRPr="005C2B2A" w:rsidRDefault="005C2B2A" w:rsidP="005C2B2A">
      <w:pPr>
        <w:pStyle w:val="1"/>
        <w:spacing w:line="480" w:lineRule="auto"/>
      </w:pPr>
      <w:r>
        <w:rPr>
          <w:rFonts w:ascii="Times New Roman" w:hAnsi="Times New Roman"/>
          <w:b/>
          <w:sz w:val="28"/>
        </w:rPr>
        <w:t xml:space="preserve">Chapter 2: Schelling’s </w:t>
      </w:r>
      <w:r>
        <w:rPr>
          <w:rFonts w:ascii="Times New Roman" w:hAnsi="Times New Roman"/>
          <w:b/>
          <w:sz w:val="28"/>
          <w:i/>
          <w:iCs/>
        </w:rPr>
        <w:t>Naturphilosophie</w:t>
      </w:r>
      <w:r>
        <w:rPr>
          <w:rFonts w:ascii="Times New Roman" w:hAnsi="Times New Roman"/>
          <w:b/>
          <w:sz w:val="28"/>
        </w:rPr>
        <w:t xml:space="preserve"> as a Research Programme</w:t>
      </w:r>
    </w:p>
    <w:p w14:paraId="5BBD4B80" w14:textId="77777777" w:rsidR="005C2B2A" w:rsidRPr="005C2B2A" w:rsidRDefault="005C2B2A" w:rsidP="005C2B2A">
      <w:pPr>
        <w:spacing w:line="480" w:lineRule="auto"/>
      </w:pPr>
    </w:p>
    <w:p w14:paraId="080660E5" w14:textId="77777777" w:rsidR="005C2B2A" w:rsidRPr="005C2B2A" w:rsidRDefault="005C2B2A" w:rsidP="005C2B2A">
      <w:pPr>
        <w:pStyle w:val="2"/>
        <w:spacing w:line="480" w:lineRule="auto"/>
      </w:pPr>
      <w:r>
        <w:rPr>
          <w:rFonts w:ascii="Times New Roman" w:hAnsi="Times New Roman"/>
          <w:b/>
          <w:sz w:val="24"/>
        </w:rPr>
        <w:t>§2.1 Why programme, not mood</w:t>
      </w:r>
    </w:p>
    <w:p w14:paraId="77BFDA2D" w14:textId="77777777" w:rsidR="005C2B2A" w:rsidRPr="005C2B2A" w:rsidRDefault="005C2B2A" w:rsidP="005C2B2A">
      <w:pPr>
        <w:spacing w:line="480" w:lineRule="auto"/>
      </w:pPr>
    </w:p>
    <w:p w14:paraId="1621D7E7" w14:textId="77777777" w:rsidR="005C2B2A" w:rsidRPr="005C2B2A" w:rsidRDefault="005C2B2A" w:rsidP="005C2B2A">
      <w:pPr>
        <w:spacing w:line="480" w:lineRule="auto"/>
      </w:pPr>
      <w:r>
        <w:rPr>
          <w:rFonts w:ascii="Times New Roman" w:hAnsi="Times New Roman"/>
          <w:sz w:val="24"/>
        </w:rPr>
        <w:t xml:space="preserve">Historiography of early nineteenth-century natural philosophy poses a perennial challenge. Engelhardt (1990, pp. 55–68) gave a helpful taxonomy of four orientations: empirical science; transcendental philosophy of nature; speculative philosophy of nature; and Romantic </w:t>
      </w:r>
      <w:r>
        <w:rPr>
          <w:rFonts w:ascii="Times New Roman" w:hAnsi="Times New Roman"/>
          <w:sz w:val="24"/>
          <w:i/>
        </w:rPr>
        <w:t>Naturforschung</w:t>
      </w:r>
      <w:r>
        <w:rPr>
          <w:rFonts w:ascii="Times New Roman" w:hAnsi="Times New Roman"/>
          <w:sz w:val="24"/>
        </w:rPr>
        <w:t xml:space="preserve">. The risk is that Schelling’s contribution dissolves into a diffuse “Romantic mood.” But the texts resist this reading. Already in </w:t>
      </w:r>
      <w:r>
        <w:rPr>
          <w:rFonts w:ascii="Times New Roman" w:hAnsi="Times New Roman"/>
          <w:sz w:val="24"/>
          <w:i/>
        </w:rPr>
        <w:t>Von der Weltseele</w:t>
      </w:r>
      <w:r>
        <w:rPr>
          <w:rFonts w:ascii="Times New Roman" w:hAnsi="Times New Roman"/>
          <w:sz w:val="24"/>
        </w:rPr>
        <w:t xml:space="preserve"> (1798), Schelling predicts that electrical and magnetic phenomena will prove to be polar manifestations of a single productive force — a claim with determinate empirical content, not atmospheric suggestion. The 1799 </w:t>
      </w:r>
      <w:r>
        <w:rPr>
          <w:rFonts w:ascii="Times New Roman" w:hAnsi="Times New Roman"/>
          <w:sz w:val="24"/>
          <w:i/>
        </w:rPr>
        <w:t>Einleitung</w:t>
      </w:r>
      <w:r>
        <w:rPr>
          <w:rFonts w:ascii="Times New Roman" w:hAnsi="Times New Roman"/>
          <w:sz w:val="24"/>
        </w:rPr>
        <w:t xml:space="preserve"> sharpens the point: the </w:t>
      </w:r>
      <w:r>
        <w:rPr>
          <w:rFonts w:ascii="Times New Roman" w:hAnsi="Times New Roman"/>
          <w:sz w:val="24"/>
          <w:i/>
        </w:rPr>
        <w:t>Stufenfolge</w:t>
      </w:r>
      <w:r>
        <w:rPr>
          <w:rFonts w:ascii="Times New Roman" w:hAnsi="Times New Roman"/>
          <w:sz w:val="24"/>
        </w:rPr>
        <w:t xml:space="preserve"> (graduated series) of natural forms is presented as a necessary consequence of the self-limitation of an originally infinite productivity, yielding a programme whose internal structure — unity, polarity, empirical risk, and experiment as intervention — can be reconstructed with some precision.</w:t>
      </w:r>
    </w:p>
    <w:p w14:paraId="2B646D98" w14:textId="77777777" w:rsidR="005C2B2A" w:rsidRPr="005C2B2A" w:rsidRDefault="005C2B2A" w:rsidP="005C2B2A">
      <w:pPr>
        <w:spacing w:line="480" w:lineRule="auto"/>
      </w:pPr>
    </w:p>
    <w:p w14:paraId="46CD2E4B" w14:textId="77777777" w:rsidR="005C2B2A" w:rsidRPr="005C2B2A" w:rsidRDefault="005C2B2A" w:rsidP="005C2B2A">
      <w:pPr>
        <w:pStyle w:val="2"/>
        <w:spacing w:line="480" w:lineRule="auto"/>
      </w:pPr>
      <w:r>
        <w:rPr>
          <w:rFonts w:ascii="Times New Roman" w:hAnsi="Times New Roman"/>
          <w:b/>
          <w:sz w:val="24"/>
        </w:rPr>
        <w:t>§2.2 Systematic unity &amp; dynamic polarity</w:t>
      </w:r>
    </w:p>
    <w:p w14:paraId="4875D76D" w14:textId="77777777" w:rsidR="005C2B2A" w:rsidRPr="005C2B2A" w:rsidRDefault="005C2B2A" w:rsidP="005C2B2A">
      <w:pPr>
        <w:spacing w:line="480" w:lineRule="auto"/>
      </w:pPr>
    </w:p>
    <w:p w14:paraId="6BD644D1" w14:textId="77777777" w:rsidR="005C2B2A" w:rsidRPr="005C2B2A" w:rsidRDefault="005C2B2A" w:rsidP="005C2B2A">
      <w:pPr>
        <w:spacing w:line="480" w:lineRule="auto"/>
      </w:pPr>
      <w:r>
        <w:rPr>
          <w:rFonts w:ascii="Times New Roman" w:hAnsi="Times New Roman"/>
          <w:sz w:val="24"/>
        </w:rPr>
        <w:t xml:space="preserve">Schelling’s conception of nature depends on a rejection of merely contingent ordering of phenomena. In the 1799 </w:t>
      </w:r>
      <w:r>
        <w:rPr>
          <w:rFonts w:ascii="Times New Roman" w:hAnsi="Times New Roman"/>
          <w:sz w:val="24"/>
          <w:i/>
        </w:rPr>
        <w:t>Einleitung</w:t>
      </w:r>
      <w:r>
        <w:rPr>
          <w:rFonts w:ascii="Times New Roman" w:hAnsi="Times New Roman"/>
          <w:sz w:val="24"/>
        </w:rPr>
        <w:t xml:space="preserve">, he goes so far as to insist that “the original phenomena are not mere occasional occurrences, in which there may or may not be inner connection, but moments of an internally connected order.” (Schelling, 1799, pp. 36–37) This commitment to systematic unity guides inquiry toward finding relational structures that bind disparate observations into a whole. But Schelling’s systematicity is not static. Nature unifies via “the conflict of real opposed tendencies” (Schelling, 1799, pp. 44–45). According to Grant (2008, pp. 145, 149) Schelling's essence is an unending process of grounding and ungrounding stemming from a tension between the positive and negative drive origination. This unity is not achieved through static identity but dynamic conflict — the productivity of nature is the ongoing strife between forces that cannot be reconciled into any ultimate equilibrium. The </w:t>
      </w:r>
      <w:r>
        <w:rPr>
          <w:rFonts w:ascii="Times New Roman" w:hAnsi="Times New Roman"/>
          <w:sz w:val="24"/>
          <w:i/>
        </w:rPr>
        <w:t>Stufenfolge</w:t>
      </w:r>
      <w:r>
        <w:rPr>
          <w:rFonts w:ascii="Times New Roman" w:hAnsi="Times New Roman"/>
          <w:sz w:val="24"/>
        </w:rPr>
        <w:t xml:space="preserve"> — "the dynamic succession of stages" (Grant, 2008:119) — becomes the process whereby individuation comes into being through this tensional productivity: from primal antagonism that escalates through more and more complex arrangements of materiality into the organic.</w:t>
      </w:r>
    </w:p>
    <w:p w14:paraId="161AE610" w14:textId="77777777" w:rsidR="005C2B2A" w:rsidRPr="005C2B2A" w:rsidRDefault="005C2B2A" w:rsidP="005C2B2A">
      <w:pPr>
        <w:spacing w:line="480" w:lineRule="auto"/>
      </w:pPr>
    </w:p>
    <w:p w14:paraId="20F8A917" w14:textId="77777777" w:rsidR="005C2B2A" w:rsidRPr="005C2B2A" w:rsidRDefault="005C2B2A" w:rsidP="005C2B2A">
      <w:pPr>
        <w:spacing w:line="480" w:lineRule="auto"/>
      </w:pPr>
      <w:r>
        <w:rPr>
          <w:rFonts w:ascii="Times New Roman" w:hAnsi="Times New Roman"/>
          <w:sz w:val="24"/>
        </w:rPr>
        <w:t xml:space="preserve">These abstract principles had empirical heft. Da Silva (2017, p. 688) has shown that from 1800 onwards galvanism supplanted chemistry as the pivotal physical science: a boundary phenomenon at which organic and inorganic nature identified with each other and dynamic opposition could be manifested in sensible form. Berger’s recent reconstruction (2024, pp. 200–15) fills out the empirical trajectory of the programme with greater precision via Schelling’s doctrine of potencies: the </w:t>
      </w:r>
      <w:r>
        <w:rPr>
          <w:rFonts w:ascii="Times New Roman" w:hAnsi="Times New Roman"/>
          <w:sz w:val="24"/>
          <w:i/>
        </w:rPr>
        <w:t>Stufenfolge</w:t>
      </w:r>
      <w:r>
        <w:rPr>
          <w:rFonts w:ascii="Times New Roman" w:hAnsi="Times New Roman"/>
          <w:sz w:val="24"/>
        </w:rPr>
        <w:t xml:space="preserve"> moves from dynamics (forces of repulsion and attraction) through physics (the magnetism–electricity–chemical-process triplet) to organics (sensibility, irritability, formative drive). The magnetism-electricity-chemical process triplet is the second potency — the level at which nature’s inner dynamism reaches qualitative definiteness. This was exactly the empirical domain in which Ritter and Ørsted worked. Schelling’s programme did not merely invite a vague pursuit of "unity," it also specified the magnetism-electricity interface as an object of philosophical and empirical interest — the very domain in which Ørsted would eventually make his 1820 discovery, though the programme did not predict that specific result. Berger articulates the ontology undergirding this empirical specificity when he writes, "each general feature of nature is regarded as interrelated with every other feature in the sense that they are all expressions of reason at various orders of intensity" (Berger, 2024, p. 53).</w:t>
      </w:r>
      <w:r>
        <w:rPr>
          <w:rFonts w:ascii="Times New Roman" w:hAnsi="Times New Roman"/>
          <w:sz w:val="24"/>
          <w:i/>
          <w:iCs/>
        </w:rPr>
      </w:r>
      <w:r>
        <w:rPr>
          <w:rFonts w:ascii="Times New Roman" w:hAnsi="Times New Roman"/>
          <w:sz w:val="24"/>
        </w:rPr>
      </w:r>
    </w:p>
    <w:p w14:paraId="7E7B9073" w14:textId="77777777" w:rsidR="005C2B2A" w:rsidRPr="005C2B2A" w:rsidRDefault="005C2B2A" w:rsidP="005C2B2A">
      <w:pPr>
        <w:spacing w:line="480" w:lineRule="auto"/>
      </w:pPr>
    </w:p>
    <w:p w14:paraId="65617559" w14:textId="77777777" w:rsidR="005C2B2A" w:rsidRPr="005C2B2A" w:rsidRDefault="005C2B2A" w:rsidP="005C2B2A">
      <w:pPr>
        <w:spacing w:line="480" w:lineRule="auto"/>
      </w:pPr>
      <w:r>
        <w:rPr>
          <w:rFonts w:ascii="Times New Roman" w:hAnsi="Times New Roman"/>
          <w:sz w:val="24"/>
        </w:rPr>
        <w:t xml:space="preserve">The bidirectionality of this enterprise has independently been confirmed by Breidbach (2004, p. 157). The Schelling-Ritter dialogue had a very German name: “ein </w:t>
      </w:r>
      <w:r>
        <w:rPr>
          <w:rFonts w:ascii="Times New Roman" w:hAnsi="Times New Roman"/>
          <w:sz w:val="24"/>
          <w:i/>
          <w:iCs/>
        </w:rPr>
        <w:t>Austausch von Denkformen und Denkmaterialien</w:t>
      </w:r>
      <w:r>
        <w:rPr>
          <w:rFonts w:ascii="Times New Roman" w:hAnsi="Times New Roman"/>
          <w:sz w:val="24"/>
        </w:rPr>
        <w:t>..., der die Grenzen zwischen der philosophisch spekulativen und experimentell ausgerichteten Sphäre einer Naturbetrachtung verwischt” — an exchange of thought-forms and thought-materials that blurred the boundary between speculative and experimental domains. The experiments of galvanic polarity were not a speculation with regard to polarity, they were “experimentelle Demonstration von Polaritäten” (Breidbach, 2004, S. 158) — experimental demonstration of polarities. The investment in a nature-as-dynamically-produced allowed one to treat opposition not as a descriptive afterthought but as an explanatory principle. Where Newtonian natural philosophy was content to describe regularities without questioning their generative source (cf. Janiak, 2008, pp. 35–65), a Schellingian researcher would have been led to ask: what polar opposition grounds this relation? What productive tension creates this visible pattern? In this manner, the ideals of explanation become operative constraints on the structure of inquiry itself — steering the investigator’s attention toward some empirical domains and away from others.</w:t>
      </w:r>
    </w:p>
    <w:p w14:paraId="66DFD4FC" w14:textId="77777777" w:rsidR="005C2B2A" w:rsidRPr="005C2B2A" w:rsidRDefault="005C2B2A" w:rsidP="005C2B2A">
      <w:pPr>
        <w:spacing w:line="480" w:lineRule="auto"/>
      </w:pPr>
    </w:p>
    <w:p w14:paraId="33FAB8D7" w14:textId="77777777" w:rsidR="005C2B2A" w:rsidRPr="005C2B2A" w:rsidRDefault="005C2B2A" w:rsidP="005C2B2A">
      <w:pPr>
        <w:pStyle w:val="2"/>
        <w:spacing w:line="480" w:lineRule="auto"/>
      </w:pPr>
      <w:r>
        <w:rPr>
          <w:rFonts w:ascii="Times New Roman" w:hAnsi="Times New Roman"/>
          <w:b/>
          <w:sz w:val="24"/>
        </w:rPr>
        <w:t>§2.3 Speculative physics and the empirical risk</w:t>
      </w:r>
    </w:p>
    <w:p w14:paraId="3491DC29" w14:textId="77777777" w:rsidR="005C2B2A" w:rsidRPr="005C2B2A" w:rsidRDefault="005C2B2A" w:rsidP="005C2B2A">
      <w:pPr>
        <w:spacing w:line="480" w:lineRule="auto"/>
      </w:pPr>
    </w:p>
    <w:p w14:paraId="5AB7D261" w14:textId="77777777" w:rsidR="005C2B2A" w:rsidRPr="005C2B2A" w:rsidRDefault="005C2B2A" w:rsidP="005C2B2A">
      <w:pPr>
        <w:spacing w:line="480" w:lineRule="auto"/>
      </w:pPr>
      <w:r>
        <w:rPr>
          <w:rFonts w:ascii="Times New Roman" w:hAnsi="Times New Roman"/>
          <w:sz w:val="24"/>
        </w:rPr>
        <w:t xml:space="preserve">As Schelling describes it, natural philosophy is "speculative physics"—not speculative to the point of detachment from experience or purely empirical, free of theoretical commitment, but essentially theoretical in its structure. The </w:t>
      </w:r>
      <w:r>
        <w:rPr>
          <w:rFonts w:ascii="Times New Roman" w:hAnsi="Times New Roman"/>
          <w:sz w:val="24"/>
          <w:i/>
        </w:rPr>
        <w:t>Einleitung</w:t>
      </w:r>
      <w:r>
        <w:rPr>
          <w:rFonts w:ascii="Times New Roman" w:hAnsi="Times New Roman"/>
          <w:sz w:val="24"/>
        </w:rPr>
        <w:t xml:space="preserve"> of 1799 makes the case that nature must be understood not as a collection of phenomena awaiting classification but as a system whose organising principles can be philosophically reconstructed (Schelling, 1799, pp. 3–7). These principles—the unity of forces, the productivity of opposition—are not imposed on nature from outside but disclosed through a philosophical engagement that takes empirical data seriously while insisting on systematic coherence (Schelling, 1799, pp. 36–40). The speculative dimension is therefore not a liability but a constitutive feature of the enterprise: without it, natural science reduces to a descriptive catalogue incapable of explaining why nature displays the patterns it does. The term constitutive here carries its full Kantian weight: Schelling’s a priori principles do not merely regulate inquiry as heuristic maxims but purport to determine the structure of nature itself (Schelling, 1799, pp. 12–14; cf. Grant, 2008, pp. 27–28). It is this constitutive commitment that will prove decisive for the reception dynamics examined in Chapters 4 and 5. Schelling’s wager was that a priori principles and empirical investigation are mutually conditioning—each incomplete without the other.</w:t>
      </w:r>
    </w:p>
    <w:p w14:paraId="590ECA00" w14:textId="77777777" w:rsidR="005C2B2A" w:rsidRPr="005C2B2A" w:rsidRDefault="005C2B2A" w:rsidP="005C2B2A">
      <w:pPr>
        <w:spacing w:line="480" w:lineRule="auto"/>
      </w:pPr>
    </w:p>
    <w:p w14:paraId="27683805" w14:textId="77777777" w:rsidR="005C2B2A" w:rsidRPr="005C2B2A" w:rsidRDefault="005C2B2A" w:rsidP="005C2B2A">
      <w:pPr>
        <w:spacing w:line="480" w:lineRule="auto"/>
      </w:pPr>
      <w:r>
        <w:rPr>
          <w:rFonts w:ascii="Times New Roman" w:hAnsi="Times New Roman"/>
          <w:sz w:val="24"/>
        </w:rPr>
        <w:t>Authier (2025, pp. 501–502) then makes a stronger claim still: that of empirical discipline. Even “ultimate causes” need an “absolute hypothesis,” which “must contain its necessity within itself, but next to this must be subject to an empirical test (</w:t>
      </w:r>
      <w:r>
        <w:rPr>
          <w:rFonts w:ascii="Times New Roman" w:hAnsi="Times New Roman"/>
          <w:sz w:val="24"/>
          <w:i/>
          <w:iCs/>
        </w:rPr>
        <w:t>empirische Probe</w:t>
      </w:r>
      <w:r>
        <w:rPr>
          <w:rFonts w:ascii="Times New Roman" w:hAnsi="Times New Roman"/>
          <w:sz w:val="24"/>
        </w:rPr>
        <w:t xml:space="preserve">).” One bad fact can destroy an entire theoretical edifice. The model of </w:t>
      </w:r>
      <w:r>
        <w:rPr>
          <w:rFonts w:ascii="Times New Roman" w:hAnsi="Times New Roman"/>
          <w:sz w:val="24"/>
          <w:i/>
          <w:iCs/>
        </w:rPr>
        <w:t>speculative physics</w:t>
      </w:r>
      <w:r>
        <w:rPr>
          <w:rFonts w:ascii="Times New Roman" w:hAnsi="Times New Roman"/>
          <w:sz w:val="24"/>
        </w:rPr>
        <w:t xml:space="preserve"> thus established a real constraint on inquiry: the deductions of philosophy became empirically risky, and that risk was not merely notional but operative — as would be demonstrated by the failed magnetochemistry experiments of Ritter and Ørsted. The result is a productive tension: speculation outstrips experience, and experience resists speculation, leaving the researcher in between — trying to close that gap through experimental intervention and theoretical revision.</w:t>
      </w:r>
    </w:p>
    <w:p w14:paraId="6439DF5F" w14:textId="77777777" w:rsidR="005C2B2A" w:rsidRPr="005C2B2A" w:rsidRDefault="005C2B2A" w:rsidP="005C2B2A">
      <w:pPr>
        <w:spacing w:line="480" w:lineRule="auto"/>
      </w:pPr>
    </w:p>
    <w:p w14:paraId="1B3B2B43" w14:textId="77777777" w:rsidR="005C2B2A" w:rsidRPr="005C2B2A" w:rsidRDefault="005C2B2A" w:rsidP="005C2B2A">
      <w:pPr>
        <w:pStyle w:val="2"/>
        <w:spacing w:line="480" w:lineRule="auto"/>
      </w:pPr>
      <w:r>
        <w:rPr>
          <w:rFonts w:ascii="Times New Roman" w:hAnsi="Times New Roman"/>
          <w:b/>
          <w:sz w:val="24"/>
        </w:rPr>
        <w:t>§2.4 Experiment as intervention</w:t>
      </w:r>
    </w:p>
    <w:p w14:paraId="47F76475" w14:textId="77777777" w:rsidR="005C2B2A" w:rsidRPr="005C2B2A" w:rsidRDefault="005C2B2A" w:rsidP="005C2B2A">
      <w:pPr>
        <w:spacing w:line="480" w:lineRule="auto"/>
      </w:pPr>
    </w:p>
    <w:p w14:paraId="78D5C267" w14:textId="77777777" w:rsidR="005C2B2A" w:rsidRPr="005C2B2A" w:rsidRDefault="005C2B2A" w:rsidP="005C2B2A">
      <w:pPr>
        <w:spacing w:line="480" w:lineRule="auto"/>
      </w:pPr>
      <w:r>
        <w:rPr>
          <w:rFonts w:ascii="Times New Roman" w:hAnsi="Times New Roman"/>
          <w:sz w:val="24"/>
        </w:rPr>
        <w:t xml:space="preserve">Schelling’s definition of experiment is brief but weighty: “Ein solcher </w:t>
      </w:r>
      <w:r>
        <w:rPr>
          <w:rFonts w:ascii="Times New Roman" w:hAnsi="Times New Roman"/>
          <w:sz w:val="24"/>
          <w:i/>
          <w:iCs/>
        </w:rPr>
        <w:t>Eingriff</w:t>
      </w:r>
      <w:r>
        <w:rPr>
          <w:rFonts w:ascii="Times New Roman" w:hAnsi="Times New Roman"/>
          <w:sz w:val="24"/>
        </w:rPr>
        <w:t xml:space="preserve"> in die Natur heisst Experiment [Such an intervention in nature is called experiment]. The formulation presents experiment not as a form of passive observation but as a question posed to nature (Schelling, 1799, pp. 32–33) and as an</w:t>
      </w:r>
      <w:r>
        <w:rPr>
          <w:rFonts w:ascii="Times New Roman" w:hAnsi="Times New Roman"/>
          <w:sz w:val="24"/>
          <w:i/>
          <w:iCs/>
        </w:rPr>
        <w:t>Eingriff</w:t>
      </w:r>
      <w:r>
        <w:rPr>
          <w:rFonts w:ascii="Times New Roman" w:hAnsi="Times New Roman"/>
          <w:sz w:val="24"/>
        </w:rPr>
        <w:t xml:space="preserve"> — an act of intervention aimed at provoking a reaction — and also as “question” whose form dictates what answer nature can be forced to provide. The constitutive precondition of experiment — that the theoretical structure of the intervention shapes what can appear — is not a defect but what renders nature’s response intelligible rather than contingent. Schelling makes this richer with the "the hidden judgment a priori" that every experiment contains (Authier, 2025, p. 502): there is always an a priori theoretical judgment at play in the architecture of an intervention.</w:t>
      </w:r>
    </w:p>
    <w:p w14:paraId="3B8FEAD2" w14:textId="77777777" w:rsidR="005C2B2A" w:rsidRPr="005C2B2A" w:rsidRDefault="005C2B2A" w:rsidP="005C2B2A">
      <w:pPr>
        <w:spacing w:line="480" w:lineRule="auto"/>
      </w:pPr>
    </w:p>
    <w:p w14:paraId="1B304871" w14:textId="77777777" w:rsidR="005C2B2A" w:rsidRPr="005C2B2A" w:rsidRDefault="005C2B2A" w:rsidP="005C2B2A">
      <w:pPr>
        <w:spacing w:line="480" w:lineRule="auto"/>
      </w:pPr>
      <w:r>
        <w:rPr>
          <w:rFonts w:ascii="Times New Roman" w:hAnsi="Times New Roman"/>
          <w:sz w:val="24"/>
        </w:rPr>
        <w:t xml:space="preserve">The exact nature of this intervention is debated. Schmid’s (2018) reconstruction centres on the concept of </w:t>
      </w:r>
      <w:r>
        <w:rPr>
          <w:rFonts w:ascii="Times New Roman" w:hAnsi="Times New Roman"/>
          <w:sz w:val="24"/>
          <w:i/>
        </w:rPr>
        <w:t>Darstellung</w:t>
      </w:r>
      <w:r>
        <w:rPr>
          <w:rFonts w:ascii="Times New Roman" w:hAnsi="Times New Roman"/>
          <w:sz w:val="24"/>
        </w:rPr>
        <w:t>—presentation or exhibition, in the sense of making visible rather than merely representing: the experiment does not interrogate nature from outside but provides conditions under which nature’s own productivity becomes visible. On this reading, the Schellingian experiment is a site of ontological disclosure rather than empirical extraction. Grant (2008, pp. 186–187) offers a complementary account in terms of the ideal and the real: the experiment is where philosophical construction meets natural resistance, and the outcome is a “potentiation” of both. What matters for the programme’s reception history is the conjunction. Experiment was not merely a means of gathering data under theoretical guidance; it was reconceived as an intervention whose structure mirrors the dynamic productivity it investigates. Whether Ritter and Ørsted received this reconception or only its surface-level methodological implications is a principal question for the case studies.</w:t>
      </w:r>
    </w:p>
    <w:p w14:paraId="2657DBD6" w14:textId="77777777" w:rsidR="005C2B2A" w:rsidRPr="005C2B2A" w:rsidRDefault="005C2B2A" w:rsidP="005C2B2A">
      <w:pPr>
        <w:spacing w:line="480" w:lineRule="auto"/>
      </w:pPr>
    </w:p>
    <w:p w14:paraId="139970D8" w14:textId="77777777" w:rsidR="005C2B2A" w:rsidRPr="005C2B2A" w:rsidRDefault="005C2B2A" w:rsidP="005C2B2A">
      <w:pPr>
        <w:pStyle w:val="2"/>
        <w:spacing w:line="480" w:lineRule="auto"/>
      </w:pPr>
      <w:r>
        <w:rPr>
          <w:rFonts w:ascii="Times New Roman" w:hAnsi="Times New Roman"/>
          <w:b/>
          <w:sz w:val="24"/>
        </w:rPr>
        <w:t>§2.5 The programme's philosophical necessity</w:t>
      </w:r>
    </w:p>
    <w:p w14:paraId="008AC89E" w14:textId="77777777" w:rsidR="005C2B2A" w:rsidRPr="005C2B2A" w:rsidRDefault="005C2B2A" w:rsidP="005C2B2A">
      <w:pPr>
        <w:spacing w:line="480" w:lineRule="auto"/>
      </w:pPr>
    </w:p>
    <w:p w14:paraId="673F0713" w14:textId="77777777" w:rsidR="005C2B2A" w:rsidRPr="005C2B2A" w:rsidRDefault="005C2B2A" w:rsidP="005C2B2A">
      <w:pPr>
        <w:spacing w:line="480" w:lineRule="auto"/>
      </w:pPr>
      <w:r>
        <w:rPr>
          <w:rFonts w:ascii="Times New Roman" w:hAnsi="Times New Roman"/>
          <w:sz w:val="24"/>
        </w:rPr>
        <w:t>The four elements thus reconstructed — systematic unity, dynamic polarity, speculative principles under empirical risk, and experiment as theory-led intervention — together form a programme whose philosophical necessity exceeds Schelling’s own ambitions. Grant (2008, pp. 145, 149) established that this necessity derives from the self-grounding activity of nature: the productive tension between opposing drives generates a graduated series of forms whose coherence exceeds any single element. The programme’s necessity is not merely systematic but genealogical: it answers the unresolved Übergang problem that Kant bequeathed to his successors. In the Kritik der Urteilskraft and the drafts collected as the Opus postumum, Kant sought to secure the transition (Übergang) from the a priori principles of pure natural science to the empirically given manifold of particular physical laws — a gap that left critical philosophy without purchase on actual nature (Förster, 2000, pp. 1–6; Friedman, 1992, pp. 213–220). Schelling’s programme occupied this lacuna: by treating a priori principles as constitutive and productive, it undertook to derive the systematicity of empirical nature that Kant’s framework could only postulate regulatively.</w:t>
      </w:r>
      <w:r>
        <w:rPr>
          <w:rFonts w:ascii="Times New Roman" w:hAnsi="Times New Roman"/>
          <w:sz w:val="24"/>
          <w:i/>
          <w:iCs/>
        </w:rPr>
      </w:r>
      <w:r>
        <w:rPr>
          <w:rFonts w:ascii="Times New Roman" w:hAnsi="Times New Roman"/>
          <w:sz w:val="24"/>
        </w:rPr>
      </w:r>
    </w:p>
    <w:p w14:paraId="77FF4E26" w14:textId="77777777" w:rsidR="005C2B2A" w:rsidRPr="005C2B2A" w:rsidRDefault="005C2B2A" w:rsidP="005C2B2A">
      <w:pPr>
        <w:spacing w:line="480" w:lineRule="auto"/>
      </w:pPr>
    </w:p>
    <w:p w14:paraId="186602D7" w14:textId="77777777" w:rsidR="005C2B2A" w:rsidRPr="005C2B2A" w:rsidRDefault="005C2B2A" w:rsidP="005C2B2A">
      <w:pPr>
        <w:spacing w:line="480" w:lineRule="auto"/>
      </w:pPr>
      <w:r>
        <w:rPr>
          <w:rFonts w:ascii="Times New Roman" w:hAnsi="Times New Roman"/>
          <w:sz w:val="24"/>
        </w:rPr>
      </w:r>
    </w:p>
    <w:p w14:paraId="1C87AF79" w14:textId="77777777" w:rsidR="005C2B2A" w:rsidRPr="005C2B2A" w:rsidRDefault="005C2B2A" w:rsidP="005C2B2A">
      <w:pPr>
        <w:spacing w:line="480" w:lineRule="auto"/>
      </w:pPr>
    </w:p>
    <w:p w14:paraId="4AC424E7" w14:textId="77777777" w:rsidR="005C2B2A" w:rsidRPr="005C2B2A" w:rsidRDefault="005C2B2A" w:rsidP="005C2B2A">
      <w:pPr>
        <w:pStyle w:val="2"/>
        <w:spacing w:line="480" w:lineRule="auto"/>
      </w:pPr>
      <w:r>
        <w:rPr>
          <w:rFonts w:ascii="Times New Roman" w:hAnsi="Times New Roman"/>
          <w:b/>
          <w:sz w:val="24"/>
        </w:rPr>
        <w:t>§2.6 Presence is not uptake</w:t>
      </w:r>
    </w:p>
    <w:p w14:paraId="61C87FEB" w14:textId="77777777" w:rsidR="005C2B2A" w:rsidRPr="005C2B2A" w:rsidRDefault="005C2B2A" w:rsidP="005C2B2A">
      <w:pPr>
        <w:spacing w:line="480" w:lineRule="auto"/>
      </w:pPr>
    </w:p>
    <w:p w14:paraId="63E03794" w14:textId="77777777" w:rsidR="005C2B2A" w:rsidRPr="005C2B2A" w:rsidRDefault="005C2B2A" w:rsidP="005C2B2A">
      <w:pPr>
        <w:spacing w:line="480" w:lineRule="auto"/>
      </w:pPr>
      <w:r>
        <w:rPr>
          <w:rFonts w:ascii="Times New Roman" w:hAnsi="Times New Roman"/>
          <w:sz w:val="24"/>
        </w:rPr>
        <w:t>Engelhardt (1990, pp. 55–68) features a paradox to which the case studies must respond: "The romantic naturalists themselves emphasized their distance from speculative forms of natural philosophy. — despite the undeniable influence especially of Schelling for their metaphysics of nature and science." Ritter, although he was steeped in Schellingian thought, went so far as to say: "the highest a priori deduction is a misunderstanding" (Ritter, 1810, II, p. 173; Engelhardt, 1990, pp. 55–68). Ørsted combined expressions of admiration and reservation about Schelling’s lack of a criterion to distinguish a priori from empirical propositions. The gap between metaphysical allegiance and practical adoption, for example, requires explanation. A naturalist could endorse Schelling's vision of nature as a dynamic, unified, polar system without accepting his epistemological claims about speculative deduction. It is to collapse distinctions that the historical actors themselves kept with care, or at least with deliberation, to assume presence means uptake, or admiration means systematic; The gap between these forms of engagement — vision endorsement vs. practice adoption — is exactly what the case studies must measure.</w:t>
      </w:r>
    </w:p>
    <w:p w14:paraId="2BC12779" w14:textId="77777777" w:rsidR="005C2B2A" w:rsidRPr="005C2B2A" w:rsidRDefault="005C2B2A" w:rsidP="005C2B2A">
      <w:pPr>
        <w:spacing w:line="480" w:lineRule="auto"/>
      </w:pPr>
    </w:p>
    <w:p w14:paraId="2C14065B" w14:textId="77777777" w:rsidR="005C2B2A" w:rsidRPr="005C2B2A" w:rsidRDefault="005C2B2A" w:rsidP="005C2B2A">
      <w:pPr>
        <w:pStyle w:val="2"/>
        <w:spacing w:line="480" w:lineRule="auto"/>
      </w:pPr>
      <w:r>
        <w:rPr>
          <w:rFonts w:ascii="Times New Roman" w:hAnsi="Times New Roman"/>
          <w:b/>
          <w:sz w:val="24"/>
        </w:rPr>
        <w:t>§2.7 Programme defined, transfer suspended</w:t>
      </w:r>
    </w:p>
    <w:p w14:paraId="174489C8" w14:textId="77777777" w:rsidR="005C2B2A" w:rsidRPr="005C2B2A" w:rsidRDefault="005C2B2A" w:rsidP="005C2B2A">
      <w:pPr>
        <w:spacing w:line="480" w:lineRule="auto"/>
      </w:pPr>
    </w:p>
    <w:p w14:paraId="3B668464" w14:textId="77777777" w:rsidR="005C2B2A" w:rsidRPr="005C2B2A" w:rsidRDefault="005C2B2A" w:rsidP="005C2B2A">
      <w:pPr>
        <w:spacing w:line="480" w:lineRule="auto"/>
      </w:pPr>
      <w:r>
        <w:rPr>
          <w:rFonts w:ascii="Times New Roman" w:hAnsi="Times New Roman"/>
          <w:sz w:val="24"/>
        </w:rPr>
        <w:t>The reconstructed programme comprises systematic unity, dynamic production-via-opposition, speculative principles at empirical risk, and experiment as theory-driven intervention. Their conjunction—not any one element alone—makes the Schellingian signature. This reconstruction does not claim that every naturalist in Schelling’s orbit consciously adopted all four elements, nor that it exhausts his philosophy of nature. It identifies those elements whose presence or absence allows structured uptake to be distinguished from thematic resemblance. How this programme was judged—and why reception varied—depends on the philosophical territory shaped by Kant’s unresolved tension. But the categories through which reception becomes legible have their own genealogy, which Chapter 3 traces.</w:t>
      </w:r>
      <w:r>
        <w:rPr>
          <w:rFonts w:ascii="Times New Roman" w:hAnsi="Times New Roman"/>
          <w:sz w:val="24"/>
          <w:i/>
          <w:iCs/>
        </w:rPr>
      </w:r>
      <w:r>
        <w:rPr>
          <w:rFonts w:ascii="Times New Roman" w:hAnsi="Times New Roman"/>
          <w:sz w:val="24"/>
        </w:rPr>
      </w:r>
    </w:p>
    <w:p w14:paraId="66F1B5C9" w14:textId="77777777" w:rsidR="005C2B2A" w:rsidRPr="005C2B2A" w:rsidRDefault="005C2B2A" w:rsidP="005C2B2A">
      <w:pPr>
        <w:spacing w:line="480" w:lineRule="auto"/>
      </w:pPr>
    </w:p>
    <w:p w14:paraId="61D7C878" w14:textId="77777777" w:rsidR="005C2B2A" w:rsidRPr="005C2B2A" w:rsidRDefault="005C2B2A" w:rsidP="005C2B2A">
      <w:pPr>
        <w:pStyle w:val="1"/>
        <w:spacing w:line="480" w:lineRule="auto"/>
      </w:pPr>
      <w:r>
        <w:rPr>
          <w:rFonts w:ascii="Times New Roman" w:hAnsi="Times New Roman"/>
          <w:b/>
          <w:sz w:val="28"/>
        </w:rPr>
        <w:t>Chapter 3: The Constitutive/Regulative Terrain — Historiography and the Genealogy of Attribution</w:t>
      </w:r>
    </w:p>
    <w:p w14:paraId="2E328560" w14:textId="77777777" w:rsidR="005C2B2A" w:rsidRPr="005C2B2A" w:rsidRDefault="005C2B2A" w:rsidP="005C2B2A">
      <w:pPr>
        <w:spacing w:line="480" w:lineRule="auto"/>
      </w:pPr>
    </w:p>
    <w:p w14:paraId="63338F49" w14:textId="77777777" w:rsidR="005C2B2A" w:rsidRPr="005C2B2A" w:rsidRDefault="005C2B2A" w:rsidP="005C2B2A">
      <w:pPr>
        <w:pStyle w:val="2"/>
        <w:spacing w:line="480" w:lineRule="auto"/>
      </w:pPr>
      <w:r>
        <w:rPr>
          <w:rFonts w:ascii="Times New Roman" w:hAnsi="Times New Roman"/>
          <w:b/>
          <w:sz w:val="24"/>
        </w:rPr>
        <w:t>§3.1 The binary and its limits</w:t>
      </w:r>
    </w:p>
    <w:p w14:paraId="4C0CD470" w14:textId="77777777" w:rsidR="005C2B2A" w:rsidRPr="005C2B2A" w:rsidRDefault="005C2B2A" w:rsidP="005C2B2A">
      <w:pPr>
        <w:spacing w:line="480" w:lineRule="auto"/>
      </w:pPr>
    </w:p>
    <w:p w14:paraId="233E9C43" w14:textId="77777777" w:rsidR="005C2B2A" w:rsidRPr="005C2B2A" w:rsidRDefault="005C2B2A" w:rsidP="005C2B2A">
      <w:pPr>
        <w:spacing w:line="480" w:lineRule="auto"/>
      </w:pPr>
      <w:r>
        <w:rPr>
          <w:rFonts w:ascii="Times New Roman" w:hAnsi="Times New Roman"/>
          <w:sz w:val="24"/>
        </w:rPr>
        <w:t xml:space="preserve">The dispute over Schelling’s relation to early-nineteenth-century experimental science has swung between two poles. Stauffer (1957) and Williams (1965; 1966) ascribed a productive, enabling role to </w:t>
      </w:r>
      <w:r>
        <w:rPr>
          <w:rFonts w:ascii="Times New Roman" w:hAnsi="Times New Roman"/>
          <w:sz w:val="24"/>
          <w:i/>
          <w:iCs/>
        </w:rPr>
        <w:t>Naturphilosophie</w:t>
      </w:r>
      <w:r>
        <w:rPr>
          <w:rFonts w:ascii="Times New Roman" w:hAnsi="Times New Roman"/>
          <w:sz w:val="24"/>
        </w:rPr>
        <w:t xml:space="preserve">; Shanahan (1989) and Wilson (2007) countered that Kant’s constitutive/regulative distinction—not Schellingian speculation—supplied the key philosophical resource. Caneva’s reconnaissance (1997) confirmed the structural dilemma: historiography has oscillated between treating </w:t>
      </w:r>
      <w:r>
        <w:rPr>
          <w:rFonts w:ascii="Times New Roman" w:hAnsi="Times New Roman"/>
          <w:sz w:val="24"/>
          <w:i/>
          <w:iCs/>
        </w:rPr>
        <w:t>Naturphilosophie</w:t>
      </w:r>
      <w:r>
        <w:rPr>
          <w:rFonts w:ascii="Times New Roman" w:hAnsi="Times New Roman"/>
          <w:sz w:val="24"/>
        </w:rPr>
        <w:t xml:space="preserve"> as catalyst and as obstruction.</w:t>
      </w:r>
    </w:p>
    <w:p w14:paraId="33FD8C6F" w14:textId="77777777" w:rsidR="005C2B2A" w:rsidRPr="005C2B2A" w:rsidRDefault="005C2B2A" w:rsidP="005C2B2A">
      <w:pPr>
        <w:spacing w:line="480" w:lineRule="auto"/>
      </w:pPr>
    </w:p>
    <w:p w14:paraId="21014CDA" w14:textId="77777777" w:rsidR="005C2B2A" w:rsidRPr="005C2B2A" w:rsidRDefault="005C2B2A" w:rsidP="005C2B2A">
      <w:pPr>
        <w:spacing w:line="480" w:lineRule="auto"/>
      </w:pPr>
      <w:r>
        <w:rPr>
          <w:rFonts w:ascii="Times New Roman" w:hAnsi="Times New Roman"/>
          <w:sz w:val="24"/>
        </w:rPr>
        <w:t xml:space="preserve">Each side presupposes a resolution to the constitutive/regulative question that neither interrogates. Williams treats </w:t>
      </w:r>
      <w:r>
        <w:rPr>
          <w:rFonts w:ascii="Times New Roman" w:hAnsi="Times New Roman"/>
          <w:sz w:val="24"/>
          <w:i/>
          <w:iCs/>
        </w:rPr>
        <w:t>Naturphilosophie</w:t>
      </w:r>
      <w:r>
        <w:rPr>
          <w:rFonts w:ascii="Times New Roman" w:hAnsi="Times New Roman"/>
          <w:sz w:val="24"/>
        </w:rPr>
        <w:t xml:space="preserve"> as constitutive—philosophy determined the framework of inquiry. Shanahan treats Ørsted’s Kantianism as constitutive—anything that passed the Kantian filter was mere heuristic stimulus. Neither asks whether the distinction itself was stable enough to bear the weight placed on it. That the philosophical dimension was not a later historiographic invention is corroborated by Berzelius, who «avait peine à oublier le penchant pour la philosophie naturaliste qu’Ørsted avait témoigné au début du siècle» (Harding, 1920, Vol. 1).</w:t>
      </w:r>
    </w:p>
    <w:p w14:paraId="49EE0875" w14:textId="77777777" w:rsidR="005C2B2A" w:rsidRPr="005C2B2A" w:rsidRDefault="005C2B2A" w:rsidP="005C2B2A">
      <w:pPr>
        <w:spacing w:line="480" w:lineRule="auto"/>
      </w:pPr>
    </w:p>
    <w:p w14:paraId="4BC7525C" w14:textId="77777777" w:rsidR="005C2B2A" w:rsidRPr="005C2B2A" w:rsidRDefault="005C2B2A" w:rsidP="005C2B2A">
      <w:pPr>
        <w:pStyle w:val="2"/>
        <w:spacing w:line="480" w:lineRule="auto"/>
      </w:pPr>
      <w:r>
        <w:rPr>
          <w:rFonts w:ascii="Times New Roman" w:hAnsi="Times New Roman"/>
          <w:b/>
          <w:sz w:val="24"/>
        </w:rPr>
        <w:t>§3.2 Post-binary reconceptualization</w:t>
      </w:r>
    </w:p>
    <w:p w14:paraId="38AF75CE" w14:textId="77777777" w:rsidR="005C2B2A" w:rsidRPr="005C2B2A" w:rsidRDefault="005C2B2A" w:rsidP="005C2B2A">
      <w:pPr>
        <w:spacing w:line="480" w:lineRule="auto"/>
      </w:pPr>
    </w:p>
    <w:p w14:paraId="3E472645" w14:textId="77777777" w:rsidR="005C2B2A" w:rsidRPr="005C2B2A" w:rsidRDefault="005C2B2A" w:rsidP="005C2B2A">
      <w:pPr>
        <w:spacing w:line="480" w:lineRule="auto"/>
      </w:pPr>
      <w:r>
        <w:rPr>
          <w:rFonts w:ascii="Times New Roman" w:hAnsi="Times New Roman"/>
          <w:sz w:val="24"/>
        </w:rPr>
        <w:t xml:space="preserve">This binary disappears when </w:t>
      </w:r>
      <w:r>
        <w:rPr>
          <w:rFonts w:ascii="Times New Roman" w:hAnsi="Times New Roman"/>
          <w:sz w:val="24"/>
          <w:i/>
        </w:rPr>
        <w:t>Naturphilosophie</w:t>
      </w:r>
      <w:r>
        <w:rPr>
          <w:rFonts w:ascii="Times New Roman" w:hAnsi="Times New Roman"/>
          <w:sz w:val="24"/>
        </w:rPr>
        <w:t xml:space="preserve"> is seen in a historical context, rather than a schematic. Breidbach (2004, pp. 153–157), for example, showed that Schelling's programme was not conceived as "gegen, sondern mit und für die Wissenschaften um 1800" — against but with and for the sciences. The speculative turn intervened at a moment of </w:t>
      </w:r>
      <w:r>
        <w:rPr>
          <w:rFonts w:ascii="Times New Roman" w:hAnsi="Times New Roman"/>
          <w:sz w:val="24"/>
          <w:i/>
        </w:rPr>
        <w:t>Desorientierung</w:t>
      </w:r>
      <w:r>
        <w:rPr>
          <w:rFonts w:ascii="Times New Roman" w:hAnsi="Times New Roman"/>
          <w:sz w:val="24"/>
        </w:rPr>
        <w:t>: descriptive natural history (</w:t>
      </w:r>
      <w:r>
        <w:rPr>
          <w:rFonts w:ascii="Times New Roman" w:hAnsi="Times New Roman"/>
          <w:sz w:val="24"/>
          <w:i/>
        </w:rPr>
        <w:t>Naturgeschichte</w:t>
      </w:r>
      <w:r>
        <w:rPr>
          <w:rFonts w:ascii="Times New Roman" w:hAnsi="Times New Roman"/>
          <w:sz w:val="24"/>
        </w:rPr>
        <w:t>) had amassed data but no ordering principle commensurate with the disciplinary form emerging as natural science (</w:t>
      </w:r>
      <w:r>
        <w:rPr>
          <w:rFonts w:ascii="Times New Roman" w:hAnsi="Times New Roman"/>
          <w:sz w:val="24"/>
          <w:i/>
        </w:rPr>
        <w:t>Naturwissenschaft</w:t>
      </w:r>
      <w:r>
        <w:rPr>
          <w:rFonts w:ascii="Times New Roman" w:hAnsi="Times New Roman"/>
          <w:sz w:val="24"/>
        </w:rPr>
        <w:t>). Naturphilosophie did not supplant science but helped constitute what Naturwissenschaft became. Breidbach’s central formulation — “Natur ist für Schelling nicht einfach eine Struktur, die abgebildet und fixiert werden kann. Natur ist selbst ein in sich Bestimmtes” [For Schelling, nature is not simply a structure that can be represented and fixed. Nature is itself something self-determining] (Breidbach, 2004, p. 164) — recognises nature as a self-determining process, rather than mere structure waiting to be described. The philosophical systematisation was not imposition from without but a condition for the evolution of descriptive catalogue into explanatory discipline at all. This reframes the question of influence: if philosophy and science were not yet apart at the moment they mutually formed, then asking “Did philosophy influence science?” presumes the very disciplinary boundary whose dissolution characterizes the era.</w:t>
      </w:r>
      <w:r>
        <w:rPr>
          <w:rFonts w:ascii="Times New Roman" w:hAnsi="Times New Roman"/>
          <w:sz w:val="24"/>
          <w:i/>
          <w:iCs/>
        </w:rPr>
      </w:r>
      <w:r>
        <w:rPr>
          <w:rFonts w:ascii="Times New Roman" w:hAnsi="Times New Roman"/>
          <w:sz w:val="24"/>
        </w:rPr>
      </w:r>
      <w:r>
        <w:rPr>
          <w:rFonts w:ascii="Times New Roman" w:hAnsi="Times New Roman"/>
          <w:sz w:val="24"/>
          <w:i/>
          <w:iCs/>
        </w:rPr>
      </w:r>
      <w:r>
        <w:rPr>
          <w:rFonts w:ascii="Times New Roman" w:hAnsi="Times New Roman"/>
          <w:sz w:val="24"/>
        </w:rPr>
      </w:r>
    </w:p>
    <w:p w14:paraId="4A93F504" w14:textId="77777777" w:rsidR="005C2B2A" w:rsidRPr="005C2B2A" w:rsidRDefault="005C2B2A" w:rsidP="005C2B2A">
      <w:pPr>
        <w:spacing w:line="480" w:lineRule="auto"/>
      </w:pPr>
    </w:p>
    <w:p w14:paraId="292B6D07" w14:textId="77777777" w:rsidR="005C2B2A" w:rsidRPr="005C2B2A" w:rsidRDefault="005C2B2A" w:rsidP="005C2B2A">
      <w:pPr>
        <w:spacing w:line="480" w:lineRule="auto"/>
      </w:pPr>
      <w:r>
        <w:rPr>
          <w:rFonts w:ascii="Times New Roman" w:hAnsi="Times New Roman"/>
          <w:sz w:val="24"/>
        </w:rPr>
        <w:t xml:space="preserve">Building on this, Authier (2025, pp. 493, 501) periodises Schelling’s engagement with experiment. The phase from 1797 to 1806—when Ritter was most productive and Ørsted’s convictions were forming—saw the fullest experimental configuration of the </w:t>
      </w:r>
      <w:r>
        <w:rPr>
          <w:rFonts w:ascii="Times New Roman" w:hAnsi="Times New Roman"/>
          <w:sz w:val="24"/>
          <w:i/>
        </w:rPr>
        <w:t>Eingriff</w:t>
      </w:r>
      <w:r>
        <w:rPr>
          <w:rFonts w:ascii="Times New Roman" w:hAnsi="Times New Roman"/>
          <w:sz w:val="24"/>
        </w:rPr>
        <w:t xml:space="preserve"> concept. Authier challenges Williams’s description of Schelling’s project as “all but entirely divorced from experience”: the </w:t>
      </w:r>
      <w:r>
        <w:rPr>
          <w:rFonts w:ascii="Times New Roman" w:hAnsi="Times New Roman"/>
          <w:sz w:val="24"/>
          <w:i/>
        </w:rPr>
        <w:t>empirische Probe</w:t>
      </w:r>
      <w:r>
        <w:rPr>
          <w:rFonts w:ascii="Times New Roman" w:hAnsi="Times New Roman"/>
          <w:sz w:val="24"/>
        </w:rPr>
        <w:t xml:space="preserve"> requirement argues that experiment was constitutive of the philosophical project, not an afterthought. Berger (2024, pp. 200–215) confirms this: the potentiation model—the magnetism–electricity–chemical process triplet as second potency—shows Schelling identified specific empirical domains. These interventions demonstrate that the binary between speculative philosophy and experimental science misrepresents the historical conditions. The periodisation thus reveals that the binary question presupposes a disciplinary separation that postdates the very phenomena it seeks to explain.</w:t>
      </w:r>
      <w:r>
        <w:rPr>
          <w:rFonts w:ascii="Times New Roman" w:hAnsi="Times New Roman"/>
          <w:sz w:val="24"/>
          <w:i/>
          <w:iCs/>
        </w:rPr>
      </w:r>
      <w:r>
        <w:rPr>
          <w:rFonts w:ascii="Times New Roman" w:hAnsi="Times New Roman"/>
          <w:sz w:val="24"/>
        </w:rPr>
      </w:r>
      <w:r>
        <w:rPr>
          <w:rFonts w:ascii="Times New Roman" w:hAnsi="Times New Roman"/>
          <w:sz w:val="24"/>
          <w:i/>
          <w:iCs/>
        </w:rPr>
      </w:r>
      <w:r>
        <w:rPr>
          <w:rFonts w:ascii="Times New Roman" w:hAnsi="Times New Roman"/>
          <w:sz w:val="24"/>
        </w:rPr>
      </w:r>
    </w:p>
    <w:p w14:paraId="02025F77" w14:textId="77777777" w:rsidR="005C2B2A" w:rsidRPr="005C2B2A" w:rsidRDefault="005C2B2A" w:rsidP="005C2B2A">
      <w:pPr>
        <w:spacing w:line="480" w:lineRule="auto"/>
      </w:pPr>
    </w:p>
    <w:p w14:paraId="30151B5E" w14:textId="77777777" w:rsidR="005C2B2A" w:rsidRPr="005C2B2A" w:rsidRDefault="005C2B2A" w:rsidP="005C2B2A">
      <w:pPr>
        <w:pStyle w:val="2"/>
        <w:spacing w:line="480" w:lineRule="auto"/>
      </w:pPr>
      <w:r>
        <w:rPr>
          <w:rFonts w:ascii="Times New Roman" w:hAnsi="Times New Roman"/>
          <w:b/>
          <w:sz w:val="24"/>
        </w:rPr>
        <w:t>§3.3 The Kant transition problem as common ground</w:t>
      </w:r>
    </w:p>
    <w:p w14:paraId="34C7B566" w14:textId="77777777" w:rsidR="005C2B2A" w:rsidRPr="005C2B2A" w:rsidRDefault="005C2B2A" w:rsidP="005C2B2A">
      <w:pPr>
        <w:spacing w:line="480" w:lineRule="auto"/>
      </w:pPr>
    </w:p>
    <w:p w14:paraId="6C86E923" w14:textId="77777777" w:rsidR="005C2B2A" w:rsidRPr="005C2B2A" w:rsidRDefault="005C2B2A" w:rsidP="005C2B2A">
      <w:pPr>
        <w:spacing w:line="480" w:lineRule="auto"/>
      </w:pPr>
      <w:r>
        <w:rPr>
          <w:rFonts w:ascii="Times New Roman" w:hAnsi="Times New Roman"/>
          <w:sz w:val="24"/>
        </w:rPr>
        <w:t xml:space="preserve">The deeper disintegration of the binary derives not only from historiographic reconceptualisation but from a philosophical finding about the ground on which this exchange rests. Di Giovanni (1979, pp. 197–215; see also Förster, 2000, pp. 72–95) showed that the constitutive/regulative distinction — which Ørsted would later deploy as a filter and which underwrites the Shanahan–Wilson position — was unstable within Kant’s own system. Kant’s three attempts at the </w:t>
      </w:r>
      <w:r>
        <w:rPr>
          <w:rFonts w:ascii="Times New Roman" w:hAnsi="Times New Roman"/>
          <w:sz w:val="24"/>
          <w:i/>
          <w:iCs/>
        </w:rPr>
        <w:t>Übergang</w:t>
      </w:r>
      <w:r>
        <w:rPr>
          <w:rFonts w:ascii="Times New Roman" w:hAnsi="Times New Roman"/>
          <w:sz w:val="24"/>
        </w:rPr>
        <w:t xml:space="preserve"> from transcendental principles to particular natural science each foundered on the same difficulty. The Metaphysische Anfangsgründe introduced mathematics as a middle term, yet mathematical constructions remained “ideale, nicht reelle” and could never furnish the existential dimension needed to link categories with objects. The Critique of Judgment’s constitutive/regulative division revealed that Kantian categories were not truly immanent to experienced objects except “in principle.” The Opus postumum’s Selbst-Affektion and Erscheinung der Erscheinungen remained unfinished attempts to solve this same problem. The distinction was not a neat binary available for easy deployment, but one of the sites of ongoing philosophical crisis.</w:t>
      </w:r>
    </w:p>
    <w:p w14:paraId="0EAAD0D0" w14:textId="77777777" w:rsidR="005C2B2A" w:rsidRPr="005C2B2A" w:rsidRDefault="005C2B2A" w:rsidP="005C2B2A">
      <w:pPr>
        <w:spacing w:line="480" w:lineRule="auto"/>
      </w:pPr>
    </w:p>
    <w:p w14:paraId="4A198105" w14:textId="77777777" w:rsidR="005C2B2A" w:rsidRPr="005C2B2A" w:rsidRDefault="005C2B2A" w:rsidP="005C2B2A">
      <w:pPr>
        <w:spacing w:line="480" w:lineRule="auto"/>
      </w:pPr>
      <w:r>
        <w:rPr>
          <w:rFonts w:ascii="Times New Roman" w:hAnsi="Times New Roman"/>
          <w:sz w:val="24"/>
        </w:rPr>
        <w:t>Gardner (2019, pp. 271–292) specifies what Schelling did with this crisis. Schelling’s was not a rejection of the transcendental framework but a “substantive reinterpretation” that disclosed commitments “already contained within Kant’s transcendental starting point” — commitments lost on Kant, Fichte, and Hegel. The reworking proceeds in four steps: Schelling supersedes the focus on epistemic justification with a concern for the factical structure of cognition; he purges transcendental philosophy of its subjectivist character; freedom is disclosed as given along with the unconditioned absolute rather than derivable from practical reason; and the philosophical question shifts toward ontological rather than methodological terms (Gardner, 2019, pp. 271–292). The dissertation draws on Gardner’s four-point analysis as an analytical vocabulary for identifying what Ørsted’s Kantian filter excluded. Friedman’s developmental reading (2006, pp. 28–32) converges: if Schelling’s programme extends rather than opposes the unresolved tensions in Kant’s Anfangsgründe. — particularly the dynamical theory of matter and the regulative status of teleological judgment — then the question “Kant or Schelling?” rests on a false opposition. What appears “Kantian” in Ørsted may already contain Schelling’s insight in muted form, for Schelling’s position was a substantive development of what was already latent in Kant.</w:t>
      </w:r>
    </w:p>
    <w:p w14:paraId="4F778544" w14:textId="77777777" w:rsidR="005C2B2A" w:rsidRPr="005C2B2A" w:rsidRDefault="005C2B2A" w:rsidP="005C2B2A">
      <w:pPr>
        <w:spacing w:line="480" w:lineRule="auto"/>
      </w:pPr>
    </w:p>
    <w:p w14:paraId="3740637C" w14:textId="77777777" w:rsidR="005C2B2A" w:rsidRPr="005C2B2A" w:rsidRDefault="005C2B2A" w:rsidP="005C2B2A">
      <w:pPr>
        <w:spacing w:line="480" w:lineRule="auto"/>
      </w:pPr>
      <w:r>
        <w:rPr>
          <w:rFonts w:ascii="Times New Roman" w:hAnsi="Times New Roman"/>
          <w:sz w:val="24"/>
        </w:rPr>
        <w:t>This philosophical discovery converts the historiographic dispute. If the constitutive/regulative distinction is unstable in Kant himself, then claiming Ørsted committed to “Kantian rigour” necessitates specifying which Kant —the Kant of Anfangsgründe, the Kant of the third Critique or the late Kant of the Opus postumum. And if Schelling opens what Kant closed, then Ørsted’s “choice” between Kant and Schelling is not a choice between different external alternatives but rather two responses to the same internal tension. The dissertation’s main question — how did the constitutive/regulative tension structure differential reception? — is rooted in this instability. However, before such a question can be pursued empirically, it will be necessary to answer a prior methodological concern: from what ground do the dissertation’s own categories of attribution derive?</w:t>
      </w:r>
    </w:p>
    <w:p w14:paraId="3C356776" w14:textId="77777777" w:rsidR="005C2B2A" w:rsidRPr="005C2B2A" w:rsidRDefault="005C2B2A" w:rsidP="005C2B2A">
      <w:pPr>
        <w:spacing w:line="480" w:lineRule="auto"/>
      </w:pPr>
    </w:p>
    <w:p w14:paraId="67CEE46B" w14:textId="77777777" w:rsidR="005C2B2A" w:rsidRPr="005C2B2A" w:rsidRDefault="005C2B2A" w:rsidP="005C2B2A">
      <w:pPr>
        <w:pStyle w:val="2"/>
        <w:spacing w:line="480" w:lineRule="auto"/>
      </w:pPr>
      <w:r>
        <w:rPr>
          <w:rFonts w:ascii="Times New Roman" w:hAnsi="Times New Roman"/>
          <w:b/>
          <w:sz w:val="24"/>
        </w:rPr>
        <w:t>§3.4 Attribution categories and their genealogy</w:t>
      </w:r>
    </w:p>
    <w:p w14:paraId="071DD2D0" w14:textId="77777777" w:rsidR="005C2B2A" w:rsidRPr="005C2B2A" w:rsidRDefault="005C2B2A" w:rsidP="005C2B2A">
      <w:pPr>
        <w:spacing w:line="480" w:lineRule="auto"/>
      </w:pPr>
    </w:p>
    <w:p w14:paraId="1E2D254B" w14:textId="77777777" w:rsidR="005C2B2A" w:rsidRPr="005C2B2A" w:rsidRDefault="005C2B2A" w:rsidP="005C2B2A">
      <w:pPr>
        <w:spacing w:line="480" w:lineRule="auto"/>
      </w:pPr>
      <w:r>
        <w:rPr>
          <w:rFonts w:ascii="Times New Roman" w:hAnsi="Times New Roman"/>
          <w:sz w:val="24"/>
        </w:rPr>
        <w:t>We can now ask where the dissertation’s own analytical categories come from. The difference between heuristic-programmatic reception and epistemological-methodological reception is not imported from an external framework. The terminology bears a family resemblance to Lakatos's "positive heuristic"—"the partially articulated set of suggestions and hints" directing empirical development (Lakatos, 1970, p. 135)—but the categories here are narrower in scope and derive from the constitutive/regulative tension itself rather than from a general methodology of research programmes. The categories derive from the tension of constitutive/regulative itself. To accept a philosophical claim in the constitutive sense — to treat the proposition “nature is a unified system of forces” as a metaphysical truth about what nature is. — alters what inquiry is and can do for the scientist at an epistemological and methodological level. To receive the same claim regulatively — to treat force-unity as a heuristic principle guiding the search without metaphysical commitment — doing so alters the scientist’s research direction without changing conceptions of inquiry itself. Reception at this level is heuristic and programmatic.</w:t>
      </w:r>
    </w:p>
    <w:p w14:paraId="44FC7CC5" w14:textId="77777777" w:rsidR="005C2B2A" w:rsidRPr="005C2B2A" w:rsidRDefault="005C2B2A" w:rsidP="005C2B2A">
      <w:pPr>
        <w:spacing w:line="480" w:lineRule="auto"/>
      </w:pPr>
    </w:p>
    <w:p w14:paraId="254B7932" w14:textId="77777777" w:rsidR="005C2B2A" w:rsidRPr="005C2B2A" w:rsidRDefault="005C2B2A" w:rsidP="005C2B2A">
      <w:pPr>
        <w:spacing w:line="480" w:lineRule="auto"/>
      </w:pPr>
      <w:r>
        <w:rPr>
          <w:rFonts w:ascii="Times New Roman" w:hAnsi="Times New Roman"/>
          <w:sz w:val="24"/>
        </w:rPr>
        <w:t>The categories are therefore genealogically retraceable: Kantian instability produces the space in which constitutive and regulative reception diverge; Schelling’s answer collapses the distinction by treating force-unity as a matter of constitution; and finally, reception becomes the process in which each scientist determines — consciously or not — whether this philosophical content is to be understood as constitutive or regulative. Ørsted went one step further: his filter is a systematic disposition to receive Schellingian content regulatively — admitting the research direction while blocking the metaphysical commitment. The absence of such a filter on the part of Ritter allowed for constitutive reception — what the programme engaged at the level of inquiry-conception, helping to shape what was understood by Ritter science as being and doing. The categories are the discovery, not the basis; they grow from the philosophical substance as the form in which reception became readable.</w:t>
      </w:r>
    </w:p>
    <w:p w14:paraId="5B752EA8" w14:textId="77777777" w:rsidR="005C2B2A" w:rsidRPr="005C2B2A" w:rsidRDefault="005C2B2A" w:rsidP="005C2B2A">
      <w:pPr>
        <w:spacing w:line="480" w:lineRule="auto"/>
      </w:pPr>
    </w:p>
    <w:p w14:paraId="398BC56A" w14:textId="77777777" w:rsidR="005C2B2A" w:rsidRPr="005C2B2A" w:rsidRDefault="005C2B2A" w:rsidP="005C2B2A">
      <w:pPr>
        <w:spacing w:line="480" w:lineRule="auto"/>
      </w:pPr>
      <w:r>
        <w:rPr>
          <w:rFonts w:ascii="Times New Roman" w:hAnsi="Times New Roman"/>
          <w:sz w:val="24"/>
        </w:rPr>
        <w:t>This genealogy carries evidential consequences. If reception is a structured process rather than an externally imposed standard, then the evidence must meet three conditions. First, engagement with the philosophical source must be documented at the level of the actors themselves, not inferred from sympathetic proximity. Second, identifiable conduits must be shown through which philosophical content was transmitted in experimentally productive form. Third, the relation of a scientist’s practice to the programme’s commitments must amount to more than isolated similarity or overlap with competing traditions. The Fichtean, Brunonian, and Laplacian programmes each included features individually present in Schelling’s — productive opposition, unity of forces, or mathematical rigour — but none deployed the four-element conjunction that constitutes the specifically Schellingian signature.</w:t>
      </w:r>
    </w:p>
    <w:p w14:paraId="422139F1" w14:textId="77777777" w:rsidR="005C2B2A" w:rsidRPr="005C2B2A" w:rsidRDefault="005C2B2A" w:rsidP="005C2B2A">
      <w:pPr>
        <w:spacing w:line="480" w:lineRule="auto"/>
      </w:pPr>
    </w:p>
    <w:p w14:paraId="0FB8A281" w14:textId="77777777" w:rsidR="005C2B2A" w:rsidRPr="005C2B2A" w:rsidRDefault="005C2B2A" w:rsidP="005C2B2A">
      <w:pPr>
        <w:spacing w:line="480" w:lineRule="auto"/>
      </w:pPr>
      <w:r>
        <w:rPr>
          <w:rFonts w:ascii="Times New Roman" w:hAnsi="Times New Roman"/>
          <w:sz w:val="24"/>
          <w:szCs w:val="24"/>
        </w:rPr>
        <w:t xml:space="preserve">Because the constitutive/regulative distinction was internally unstable, it permitted partial decoupling: programmatic content — research direction, empirical targets — could be separated from its metaphysical ground. A stable distinction would have forced all-or-nothing reception: either accept Schelling’s metaphysics wholesale or reject his programme entirely. The instability created a middle path: adopt the programme while filtering the epistemology through Kantian constraints. It is this structural possibility that the two empirical cases now test.</w:t>
      </w:r>
    </w:p>
    <w:p w14:paraId="0FB8A281" w14:textId="77777777" w:rsidR="005C2B2A" w:rsidRPr="005C2B2A" w:rsidRDefault="005C2B2A" w:rsidP="005C2B2A">
      <w:pPr>
        <w:spacing w:line="480" w:lineRule="auto"/>
      </w:pPr>
      <w:r>
        <w:rPr>
          <w:rFonts w:ascii="Times New Roman" w:hAnsi="Times New Roman"/>
          <w:sz w:val="24"/>
        </w:rPr>
        <w:t>With the philosophical terrain mapped — the constitutive/regulative tension revealed as unstable, and the categories of attribution traced to their genealogy within that instability — the dissertation turns to its two empirical cases. Ritter is the case in which the constitutive/regulative filter was weakest, and thus in which the structural resonance with Schelling’s programme emerges most clearly.</w:t>
      </w:r>
    </w:p>
    <w:p w14:paraId="393EDB12" w14:textId="77777777" w:rsidR="005C2B2A" w:rsidRPr="005C2B2A" w:rsidRDefault="005C2B2A" w:rsidP="005C2B2A">
      <w:pPr>
        <w:spacing w:line="480" w:lineRule="auto"/>
      </w:pPr>
    </w:p>
    <w:p w14:paraId="3B6721D3" w14:textId="77777777" w:rsidR="005C2B2A" w:rsidRPr="005C2B2A" w:rsidRDefault="005C2B2A" w:rsidP="005C2B2A">
      <w:pPr>
        <w:pStyle w:val="1"/>
        <w:spacing w:line="480" w:lineRule="auto"/>
      </w:pPr>
      <w:r>
        <w:rPr>
          <w:rFonts w:ascii="Times New Roman" w:hAnsi="Times New Roman"/>
          <w:b/>
          <w:sz w:val="28"/>
        </w:rPr>
        <w:t>Chapter 4: Ritter and the Weak Filter — Reception to Depth</w:t>
      </w:r>
    </w:p>
    <w:p w14:paraId="7E895EC9" w14:textId="77777777" w:rsidR="005C2B2A" w:rsidRPr="005C2B2A" w:rsidRDefault="005C2B2A" w:rsidP="005C2B2A">
      <w:pPr>
        <w:spacing w:line="480" w:lineRule="auto"/>
      </w:pPr>
    </w:p>
    <w:p w14:paraId="77063BA1" w14:textId="77777777" w:rsidR="005C2B2A" w:rsidRPr="005C2B2A" w:rsidRDefault="005C2B2A" w:rsidP="005C2B2A">
      <w:pPr>
        <w:pStyle w:val="2"/>
        <w:spacing w:line="480" w:lineRule="auto"/>
      </w:pPr>
      <w:r>
        <w:rPr>
          <w:rFonts w:ascii="Times New Roman" w:hAnsi="Times New Roman"/>
          <w:b/>
          <w:sz w:val="24"/>
        </w:rPr>
        <w:t>§4.1 Ritter and the attribution problem</w:t>
      </w:r>
    </w:p>
    <w:p w14:paraId="452A7E02" w14:textId="77777777" w:rsidR="005C2B2A" w:rsidRPr="005C2B2A" w:rsidRDefault="005C2B2A" w:rsidP="005C2B2A">
      <w:pPr>
        <w:spacing w:line="480" w:lineRule="auto"/>
      </w:pPr>
    </w:p>
    <w:p w14:paraId="0A30E992" w14:textId="77777777" w:rsidR="005C2B2A" w:rsidRPr="005C2B2A" w:rsidRDefault="005C2B2A" w:rsidP="005C2B2A">
      <w:pPr>
        <w:spacing w:line="480" w:lineRule="auto"/>
      </w:pPr>
      <w:r>
        <w:t>Wilson’s introduction to Ørsted’s Selected Scientific Works (1998, pp. xxviii–xxix) establishes the coordinates: Ritter sought to understand electrical, galvanic, magnetic and chemical phenomena “not separately…but in their correlation one with another and with the structure of nature as a whole,” seeing galvanism as “the essential, and considerably missing to date, nexus between the organic and inorganic domains.” Wilson rightly isolates the ambition of holism, though he underestimates its specifically Schellingian structure—it was not simply holism but the dynamic-productive idea of nature that set Ritter apart. Holland’s edition of Ritter’s Key Texts (2010) rectifies the primary-text basis.</w:t>
      </w:r>
    </w:p>
    <w:p>
      <w:pPr>
        <w:spacing w:line="480" w:lineRule="auto"/>
      </w:pPr>
      <w:r>
        <w:t xml:space="preserve">The claim to be tested is that conditions were more favourable for attribution in Ritter’s case, explicable by the absence of a strong epistemological filter. Christensen characterises Ritter as “an outstanding experimenter who was the first to make dynamical philosophy productive” (1995, p. 169), though Engelhardt (1990, pp. 55–68) showed that romantic naturalists “stressed the detachment from the speculative mode…despite their undeniable influence especially of Schelling.” Ritter belongs in romantic </w:t>
      </w:r>
      <w:r>
        <w:rPr>
          <w:i/>
        </w:rPr>
        <w:t>Naturforschung</w:t>
      </w:r>
      <w:r>
        <w:t>—informed by Schelling’s vision while distant from merely deductive aspirations.</w:t>
      </w:r>
    </w:p>
    <w:p w14:paraId="117D4D86" w14:textId="77777777" w:rsidR="005C2B2A" w:rsidRPr="005C2B2A" w:rsidRDefault="005C2B2A" w:rsidP="005C2B2A">
      <w:pPr>
        <w:spacing w:line="480" w:lineRule="auto"/>
      </w:pPr>
    </w:p>
    <w:p w14:paraId="0F13CC19" w14:textId="77777777" w:rsidR="005C2B2A" w:rsidRPr="005C2B2A" w:rsidRDefault="005C2B2A" w:rsidP="005C2B2A">
      <w:pPr>
        <w:pStyle w:val="2"/>
        <w:spacing w:line="480" w:lineRule="auto"/>
      </w:pPr>
      <w:r>
        <w:rPr>
          <w:rFonts w:ascii="Times New Roman" w:hAnsi="Times New Roman"/>
          <w:b/>
          <w:sz w:val="24"/>
        </w:rPr>
        <w:t>§4.2 Galvanism as Unifying Problem Space</w:t>
      </w:r>
    </w:p>
    <w:p w14:paraId="05899A53" w14:textId="77777777" w:rsidR="005C2B2A" w:rsidRPr="005C2B2A" w:rsidRDefault="005C2B2A" w:rsidP="005C2B2A">
      <w:pPr>
        <w:spacing w:line="480" w:lineRule="auto"/>
      </w:pPr>
    </w:p>
    <w:p w14:paraId="0AF22152" w14:textId="77777777" w:rsidR="005C2B2A" w:rsidRPr="005C2B2A" w:rsidRDefault="005C2B2A" w:rsidP="005C2B2A">
      <w:pPr>
        <w:spacing w:line="480" w:lineRule="auto"/>
      </w:pPr>
      <w:r>
        <w:rPr>
          <w:rFonts w:ascii="Times New Roman" w:hAnsi="Times New Roman"/>
          <w:sz w:val="24"/>
        </w:rPr>
        <w:t>For Ritter, galvanism signified what da Silva (2017, p. 688) marks as a pivotal shift: by around 1800, galvanism replaced chemistry as the primary physical science. In Schelling's system of potencies—a hierarchy in which nature's productivity manifests at successively higher levels of organisation—galvanism stood at the boundary where organic and inorganic nature met — where dynamic opposition could manifest itself in perceptible form. The horizon of galvanism that Wilson and Christensen reconstruct already performed a commitment to systematic relations: Ritter anticipated that galvanism would uncover an unifying link. Da Silva’s analysis therefore complements Wilson’s by clarifying the disciplinary site through which Schelling’s abstract programme of force-unity took on concrete experimental embodiment — galvanism was not simply a subject but rather the site where philosophy gained traceable laboratory expression.</w:t>
      </w:r>
    </w:p>
    <w:p>
      <w:pPr>
        <w:spacing w:line="480" w:lineRule="auto"/>
      </w:pPr>
      <w:r>
        <w:t xml:space="preserve">The laboratory practice that gave this programme material form is documented in Ritter’s Beyträge zur nähern Kenntniß des Galvanismus (1802). A Voltaic battery — described as having its positive or “Oxygenseite” and negative or “Hydrogenseite” — drove current through gold wires immersed in U-shaped glass tubes filled with distilled water, silver oxide, or dilute acid. In the first series of experiments (Versuch 1), Ritter filled the tube entirely with moistened silver oxide and observed that the hydrogen-side wire gradually blackened while the oxygen-side wire grew whiter — a visible polarisation of chemical forces across the apparatus (Ritter, 1802, II.1, Versuch 1–3). By systematically varying the medium between the electrodes — substituting sand, concentrated sulphuric acid, or water that had stood over silver oxide — he traced how the opposing electrical forces propagated through heterogeneous conductors (Versuch 4–6). The experimental design thus enacted the Schellingian commitment to dynamic polarity: galvanic action was not merely measured but staged as a productive opposition whose visible products — darkening and whitening, gas evolution and metal deposition — disclosed the polarised structure of nature’s forces at work.</w:t>
      </w:r>
    </w:p>
    <w:p w14:paraId="05F4FEFD" w14:textId="77777777" w:rsidR="005C2B2A" w:rsidRPr="005C2B2A" w:rsidRDefault="005C2B2A" w:rsidP="005C2B2A">
      <w:pPr>
        <w:spacing w:line="480" w:lineRule="auto"/>
      </w:pPr>
    </w:p>
    <w:p w14:paraId="22E6EC3B" w14:textId="77777777" w:rsidR="005C2B2A" w:rsidRPr="005C2B2A" w:rsidRDefault="005C2B2A" w:rsidP="005C2B2A">
      <w:pPr>
        <w:spacing w:line="480" w:lineRule="auto"/>
      </w:pPr>
      <w:r>
        <w:rPr>
          <w:rFonts w:ascii="Times New Roman" w:hAnsi="Times New Roman"/>
          <w:sz w:val="24"/>
        </w:rPr>
        <w:t>Breidbach (2004, p. 157) independently confirms that this expectation evolved from durable intellectual exchange: the galvanic polarity experiments were “experimentelle Demonstration von Polaritäten” (p. 158), not speculation about polarity but its experimental demonstration. The exchange was bidirectional—Ritter’s findings informed Schelling’s systematisation no less than Schelling’s categories oriented Ritter’s research. Berger’s (2024, pp. 200–215) potentiation structure reinforces this analysis: Ritter’s galvanic work occupied precisely the second potency that Schelling’s system singled out.</w:t>
      </w:r>
    </w:p>
    <w:p w14:paraId="10014F61" w14:textId="77777777" w:rsidR="005C2B2A" w:rsidRPr="005C2B2A" w:rsidRDefault="005C2B2A" w:rsidP="005C2B2A">
      <w:pPr>
        <w:spacing w:line="480" w:lineRule="auto"/>
      </w:pPr>
    </w:p>
    <w:p w14:paraId="1D4EFBB4" w14:textId="77777777" w:rsidR="005C2B2A" w:rsidRPr="005C2B2A" w:rsidRDefault="005C2B2A" w:rsidP="005C2B2A">
      <w:pPr>
        <w:spacing w:line="480" w:lineRule="auto"/>
      </w:pPr>
      <w:r>
        <w:rPr>
          <w:rFonts w:ascii="Times New Roman" w:hAnsi="Times New Roman"/>
          <w:sz w:val="24"/>
        </w:rPr>
        <w:t>A collaborative study from Ørsted-Ritter's group in magnetochemistry illustrates this programme at work. Martins (2007, pp. 339–341) documents a collaborative magnetochemistry study that instantiates this programme: the Ørsted–Ritter group investigated magnetic effects of galvanic processes, treating magnetism and chemical action as manifestations of a unified underlying force.</w:t>
      </w:r>
    </w:p>
    <w:p w14:paraId="7A1AFC75" w14:textId="77777777" w:rsidR="005C2B2A" w:rsidRPr="005C2B2A" w:rsidRDefault="005C2B2A" w:rsidP="005C2B2A">
      <w:pPr>
        <w:spacing w:line="480" w:lineRule="auto"/>
      </w:pPr>
    </w:p>
    <w:p w14:paraId="78540D0F" w14:textId="77777777" w:rsidR="005C2B2A" w:rsidRPr="005C2B2A" w:rsidRDefault="005C2B2A" w:rsidP="005C2B2A">
      <w:pPr>
        <w:pStyle w:val="2"/>
        <w:spacing w:line="480" w:lineRule="auto"/>
      </w:pPr>
      <w:r>
        <w:rPr>
          <w:rFonts w:ascii="Times New Roman" w:hAnsi="Times New Roman"/>
          <w:b/>
          <w:sz w:val="24"/>
        </w:rPr>
        <w:t>§4.3 Die Physik als Kunst and the nature of inquiry</w:t>
      </w:r>
    </w:p>
    <w:p w14:paraId="4B8602B1" w14:textId="77777777" w:rsidR="005C2B2A" w:rsidRPr="005C2B2A" w:rsidRDefault="005C2B2A" w:rsidP="005C2B2A">
      <w:pPr>
        <w:spacing w:line="480" w:lineRule="auto"/>
      </w:pPr>
    </w:p>
    <w:p w14:paraId="6F221F15" w14:textId="77777777" w:rsidR="005C2B2A" w:rsidRPr="005C2B2A" w:rsidRDefault="005C2B2A" w:rsidP="005C2B2A">
      <w:pPr>
        <w:spacing w:line="480" w:lineRule="auto"/>
      </w:pPr>
      <w:r>
        <w:rPr>
          <w:rFonts w:ascii="Times New Roman" w:hAnsi="Times New Roman"/>
          <w:sz w:val="24"/>
        </w:rPr>
        <w:t xml:space="preserve">Of the surviving writings, </w:t>
      </w:r>
      <w:r>
        <w:rPr>
          <w:rFonts w:ascii="Times New Roman" w:hAnsi="Times New Roman"/>
          <w:sz w:val="24"/>
          <w:i/>
        </w:rPr>
        <w:t>Die Physik als Kunst</w:t>
      </w:r>
      <w:r>
        <w:rPr>
          <w:rFonts w:ascii="Times New Roman" w:hAnsi="Times New Roman"/>
          <w:sz w:val="24"/>
        </w:rPr>
        <w:t xml:space="preserve"> (1806) is the single text from which one can best reconstruct Ritter’s conception of inquiry. For Ritter, physics represents a movement towards what he calls “</w:t>
      </w:r>
      <w:r>
        <w:rPr>
          <w:rFonts w:ascii="Times New Roman" w:hAnsi="Times New Roman"/>
          <w:sz w:val="24"/>
          <w:i/>
        </w:rPr>
        <w:t>Wiedervereinigung</w:t>
      </w:r>
      <w:r>
        <w:rPr>
          <w:rFonts w:ascii="Times New Roman" w:hAnsi="Times New Roman"/>
          <w:sz w:val="24"/>
        </w:rPr>
        <w:t xml:space="preserve"> mit einer getrennten Natur” [reunification with a separated nature] and a state where “aus allem Leben nur Ein Leben” [from all life only One Life] (Ritter 1806: 56–57). Physics tends toward whole-making; torn regions are to be reunited; its mode of questioning aims at realisation, not disjointed recording. The translations in Holland’s edition (2010) furnish further evidence: Ritter’s fragments resist systematic arrangement (Holland, 2010, pp. 12–15), and this resistance itself encodes a conception of inquiry that glimpses totality through particulars rather than arriving from architectonic first principles — each fragment a site where nature’s productive activity is laid bare as opposed to Ørsted’s systematic Kantian architectonic.</w:t>
      </w:r>
    </w:p>
    <w:p w14:paraId="0B0F6038" w14:textId="77777777" w:rsidR="005C2B2A" w:rsidRPr="005C2B2A" w:rsidRDefault="005C2B2A" w:rsidP="005C2B2A">
      <w:pPr>
        <w:spacing w:line="480" w:lineRule="auto"/>
      </w:pPr>
    </w:p>
    <w:p w14:paraId="67EAF3EC" w14:textId="77777777" w:rsidR="005C2B2A" w:rsidRPr="005C2B2A" w:rsidRDefault="005C2B2A" w:rsidP="005C2B2A">
      <w:pPr>
        <w:spacing w:line="480" w:lineRule="auto"/>
      </w:pPr>
      <w:r>
        <w:rPr>
          <w:rFonts w:ascii="Times New Roman" w:hAnsi="Times New Roman"/>
          <w:sz w:val="24"/>
        </w:rPr>
        <w:t xml:space="preserve">Ritter’s handling of fire, electricity, chemistry and life across domains shows that Schellingian commitments to unity and opposition did real work in orienting inquiry. Chemical fire and electrical fire were not separate phenomena for him but manifestations of a single productive antagonism (Ritter, 1806, pp. 37–39). Holland’s translation (2010, p. 182) confirms the ontological register: “Everything that is comes into being only through an Opposite.” The </w:t>
      </w:r>
      <w:r>
        <w:rPr>
          <w:rFonts w:ascii="Times New Roman" w:hAnsi="Times New Roman"/>
          <w:sz w:val="24"/>
          <w:i/>
        </w:rPr>
        <w:t>Die Physik als Kunst</w:t>
      </w:r>
      <w:r>
        <w:rPr>
          <w:rFonts w:ascii="Times New Roman" w:hAnsi="Times New Roman"/>
          <w:sz w:val="24"/>
        </w:rPr>
        <w:t xml:space="preserve"> text situates this ontological principle within a conception of inquiry as a form of restoration—bringing nature back to its original state, or </w:t>
      </w:r>
      <w:r>
        <w:rPr>
          <w:rFonts w:ascii="Times New Roman" w:hAnsi="Times New Roman"/>
          <w:sz w:val="24"/>
          <w:i/>
        </w:rPr>
        <w:t>Wiederherstellen</w:t>
      </w:r>
      <w:r>
        <w:rPr>
          <w:rFonts w:ascii="Times New Roman" w:hAnsi="Times New Roman"/>
          <w:sz w:val="24"/>
        </w:rPr>
        <w:t xml:space="preserve">—and ultimately </w:t>
      </w:r>
      <w:r>
        <w:rPr>
          <w:rFonts w:ascii="Times New Roman" w:hAnsi="Times New Roman"/>
          <w:sz w:val="24"/>
          <w:i/>
        </w:rPr>
        <w:t>Verwirklichung</w:t>
      </w:r>
      <w:r>
        <w:rPr>
          <w:rFonts w:ascii="Times New Roman" w:hAnsi="Times New Roman"/>
          <w:sz w:val="24"/>
        </w:rPr>
        <w:t xml:space="preserve">: realisation. These are not passing metaphors. They constitute a theory of what the experimenter does: not extract data from a passive nature but participate in nature’s self-exhibition through productive opposition. This conception of inquiry aligns precisely with Schmid’s (2018) </w:t>
      </w:r>
      <w:r>
        <w:rPr>
          <w:rFonts w:ascii="Times New Roman" w:hAnsi="Times New Roman"/>
          <w:sz w:val="24"/>
          <w:i/>
        </w:rPr>
        <w:t>Darstellung</w:t>
      </w:r>
      <w:r>
        <w:rPr>
          <w:rFonts w:ascii="Times New Roman" w:hAnsi="Times New Roman"/>
          <w:sz w:val="24"/>
        </w:rPr>
        <w:t xml:space="preserve"> reading of Schellingian experiment, though Ritter arrives at it through laboratory practice rather than philosophical argument.</w:t>
      </w:r>
    </w:p>
    <w:p w14:paraId="3B9C8BB0" w14:textId="77777777" w:rsidR="005C2B2A" w:rsidRPr="005C2B2A" w:rsidRDefault="005C2B2A" w:rsidP="005C2B2A">
      <w:pPr>
        <w:spacing w:line="480" w:lineRule="auto"/>
      </w:pPr>
    </w:p>
    <w:p w14:paraId="7FA7A870" w14:textId="77777777" w:rsidR="005C2B2A" w:rsidRPr="005C2B2A" w:rsidRDefault="005C2B2A" w:rsidP="005C2B2A">
      <w:pPr>
        <w:pStyle w:val="2"/>
        <w:spacing w:line="480" w:lineRule="auto"/>
      </w:pPr>
      <w:r>
        <w:rPr>
          <w:rFonts w:ascii="Times New Roman" w:hAnsi="Times New Roman"/>
          <w:b/>
          <w:sz w:val="24"/>
        </w:rPr>
        <w:t>§4.4 Mediating evidence: the Ritter-Ørsted alliance</w:t>
      </w:r>
    </w:p>
    <w:p w14:paraId="5DF5D828" w14:textId="77777777" w:rsidR="005C2B2A" w:rsidRPr="005C2B2A" w:rsidRDefault="005C2B2A" w:rsidP="005C2B2A">
      <w:pPr>
        <w:spacing w:line="480" w:lineRule="auto"/>
      </w:pPr>
    </w:p>
    <w:p w14:paraId="3B725FF5" w14:textId="77777777" w:rsidR="005C2B2A" w:rsidRPr="005C2B2A" w:rsidRDefault="005C2B2A" w:rsidP="005C2B2A">
      <w:pPr>
        <w:spacing w:line="480" w:lineRule="auto"/>
      </w:pPr>
      <w:r>
        <w:rPr>
          <w:rFonts w:ascii="Times New Roman" w:hAnsi="Times New Roman"/>
          <w:sz w:val="24"/>
        </w:rPr>
        <w:t>The Ritter–Ørsted partnership provides the clearest evidence for free flow of philosophical ideas in experimentally prolific form. Harding’s correspondence chronicles their first meeting in September 1801: Ørsted noted “Denne Mand har gjort store Opdagelser” and within days had “indgaaet et meget noie Venskab” (Harding, 1920, Vol. 2, p. 2). The acquaintance “became especially important” (Christensen, 1995, pp. 161–162). Ørsted promoted Ritter’s work to the French scientific community from 1803, and Ritter acknowledged Ørsted as an experimental witness in the Beyträge (1805). The closest testimony comes from Ørsted: “When Ritter, by its repetition of these experiments with modifications, made it probable that water was no compound. But that each of the evolved gases is a product of water combined with some one of the electric substances or forces” (Ørsted, 1998, p. 101). This two-forces doctrine—the opposition and neutralisation structure central to electromagnetic theory—was derived from Ritter’s electrochemical work and directly credited by Ørsted. Later, Ørsted wrote that “la conversation et les lettres de Ritter ont beaucoup facilité à l’auteur l’intelligence de ses écrits” (Harding, 1920, Vol. 2). The partnership instantiated the bidirectional exchange Breidbach describes.</w:t>
      </w:r>
    </w:p>
    <w:p w14:paraId="2DD80349" w14:textId="77777777" w:rsidR="005C2B2A" w:rsidRPr="005C2B2A" w:rsidRDefault="005C2B2A" w:rsidP="005C2B2A">
      <w:pPr>
        <w:spacing w:line="480" w:lineRule="auto"/>
      </w:pPr>
    </w:p>
    <w:p w14:paraId="5302D3B9" w14:textId="77777777" w:rsidR="005C2B2A" w:rsidRPr="005C2B2A" w:rsidRDefault="005C2B2A" w:rsidP="005C2B2A">
      <w:pPr>
        <w:pStyle w:val="2"/>
        <w:spacing w:line="480" w:lineRule="auto"/>
      </w:pPr>
      <w:r>
        <w:rPr>
          <w:rFonts w:ascii="Times New Roman" w:hAnsi="Times New Roman"/>
          <w:b/>
          <w:sz w:val="24"/>
        </w:rPr>
        <w:t>§4.5 Structural correspondence</w:t>
      </w:r>
    </w:p>
    <w:p w14:paraId="2E812FA2" w14:textId="77777777" w:rsidR="005C2B2A" w:rsidRPr="005C2B2A" w:rsidRDefault="005C2B2A" w:rsidP="005C2B2A">
      <w:pPr>
        <w:spacing w:line="480" w:lineRule="auto"/>
      </w:pPr>
    </w:p>
    <w:p w14:paraId="2D0D2202" w14:textId="77777777" w:rsidR="005C2B2A" w:rsidRPr="005C2B2A" w:rsidRDefault="005C2B2A" w:rsidP="005C2B2A">
      <w:pPr>
        <w:spacing w:line="480" w:lineRule="auto"/>
      </w:pPr>
      <w:r>
        <w:t xml:space="preserve">The four commitments reconstructed in Chapter 2 find sustained expression in Ritter’s practice. His galvanic investigations approached galvanism as “the necessary, and so far missing connection between the organic and inorganic worlds” (Wilson, 1998, pp. xxviii–xxix)—cross-domain experimentation directly materialising systematic unity. The dynamic principle of production through polarity is equally pervasive: the oppositional relation of electrical and chemical fires (Ritter, 1806, pp. 37–39) and his insistence that everything comes into being only through an opposite (Holland, 2010, p. 182) exhibit polarity functioning as explanatory principle rather than descriptive vocabulary. Speculative principles under empirical risk are equally evident: the magnetochemistry episode (Martins, 2007, p. 204) instantiates predictions subject to empirical test whose failure illustrates risk-bearing commitment. Yet Ritter’s rejection of “the highest a priori deduction” (Ritter, 1810, II, p. 173; cited in Engelhardt, 1990) precludes endorsement of the specifically Schellingian form of speculative reasoning. </w:t>
      </w:r>
      <w:r>
        <w:rPr>
          <w:i/>
        </w:rPr>
        <w:t>Die Physik als Kunst</w:t>
      </w:r>
      <w:r>
        <w:t xml:space="preserve"> redefines physics as rooted in restoration and realisation, maintaining the </w:t>
      </w:r>
      <w:r>
        <w:rPr>
          <w:i/>
        </w:rPr>
        <w:t>Darstellung</w:t>
      </w:r>
      <w:r>
        <w:t xml:space="preserve"> structure identified by Schmid (2018).</w:t>
      </w:r>
    </w:p>
    <w:p w14:paraId="645A9647" w14:textId="77777777" w:rsidR="005C2B2A" w:rsidRPr="005C2B2A" w:rsidRDefault="005C2B2A" w:rsidP="005C2B2A">
      <w:pPr>
        <w:spacing w:line="480" w:lineRule="auto"/>
      </w:pPr>
    </w:p>
    <w:p w14:paraId="02440DFE" w14:textId="77777777" w:rsidR="005C2B2A" w:rsidRPr="005C2B2A" w:rsidRDefault="005C2B2A" w:rsidP="005C2B2A">
      <w:pPr>
        <w:spacing w:line="480" w:lineRule="auto"/>
      </w:pPr>
      <w:r>
        <w:rPr>
          <w:rFonts w:ascii="Times New Roman" w:hAnsi="Times New Roman"/>
          <w:sz w:val="24"/>
        </w:rPr>
        <w:t>Ritter’s practice thus exhibits structural resonance with the Schellingian programme extending to inquiry-conception. On three of four dimensions the provenance is clearly Schellingian; on the fourth—speculative deduction—it is partial. This constitutes the deepest reception documented here and establishes the baseline against which Ørsted’s filtered reception must be read. The conjunction is decisive because no single rival tradition satisfies it. Brunonian medicine accounts for the vitalist polarity but lacks the commitment to speculative deduction under empirical risk and offers no reconception of experiment as ontological disclosure. Voltaic electrochemistry explains the galvanic focus but not the systematic unity across all force-domains nor the philosophical necessity that elevates experiment beyond data-collection. An independent experimental agenda explains individual results but cannot account for the programmatic coherence that unified Ritter's disparate investigations under a single philosophical architecture. Only the Schellingian programme supplies all four commitments simultaneously, making it the most parsimonious attribution.</w:t>
      </w:r>
    </w:p>
    <w:p w14:paraId="07D987D8" w14:textId="77777777" w:rsidR="005C2B2A" w:rsidRPr="005C2B2A" w:rsidRDefault="005C2B2A" w:rsidP="005C2B2A">
      <w:pPr>
        <w:spacing w:line="480" w:lineRule="auto"/>
      </w:pPr>
    </w:p>
    <w:p w14:paraId="3F3D1049" w14:textId="77777777" w:rsidR="005C2B2A" w:rsidRPr="005C2B2A" w:rsidRDefault="005C2B2A" w:rsidP="005C2B2A">
      <w:pPr>
        <w:pStyle w:val="2"/>
        <w:spacing w:line="480" w:lineRule="auto"/>
      </w:pPr>
      <w:r>
        <w:rPr>
          <w:rFonts w:ascii="Times New Roman" w:hAnsi="Times New Roman"/>
          <w:b/>
          <w:sz w:val="24"/>
        </w:rPr>
        <w:t>§4.6 The weak filter</w:t>
      </w:r>
    </w:p>
    <w:p w14:paraId="24A68E70" w14:textId="77777777" w:rsidR="005C2B2A" w:rsidRPr="005C2B2A" w:rsidRDefault="005C2B2A" w:rsidP="005C2B2A">
      <w:pPr>
        <w:spacing w:line="480" w:lineRule="auto"/>
      </w:pPr>
    </w:p>
    <w:p w14:paraId="24B325A6" w14:textId="77777777" w:rsidR="005C2B2A" w:rsidRPr="005C2B2A" w:rsidRDefault="005C2B2A" w:rsidP="005C2B2A">
      <w:pPr>
        <w:spacing w:line="480" w:lineRule="auto"/>
      </w:pPr>
      <w:r>
        <w:rPr>
          <w:rFonts w:ascii="Times New Roman" w:hAnsi="Times New Roman"/>
          <w:sz w:val="24"/>
        </w:rPr>
        <w:t xml:space="preserve">The depth of Ritter’s reception becomes intelligible beside Ørsted’s contrasting case. Ørsted possessed an independently elaborated Kantian formation—attested by his study of Karsten on Kant’s natural metaphysics (Harding, 1920, Vol. 1, p. 254)—giving him resources to differentiate constitutive metaphysical assertions from regulative heuristic principles. Ritter had no comparably systematic engagement with this critical apparatus. This is partly an argument from silence, but the silence is specifically Kantian-critical rather than general: Ritter’s philosophical formation was substantial, shaped by direct engagement with Schelling’s </w:t>
      </w:r>
      <w:r>
        <w:rPr>
          <w:rFonts w:ascii="Times New Roman" w:hAnsi="Times New Roman"/>
          <w:sz w:val="24"/>
          <w:i/>
        </w:rPr>
        <w:t>Naturphilosophie</w:t>
      </w:r>
      <w:r>
        <w:rPr>
          <w:rFonts w:ascii="Times New Roman" w:hAnsi="Times New Roman"/>
          <w:sz w:val="24"/>
        </w:rPr>
        <w:t xml:space="preserve"> and by Romantic interlocutors including Baader (Engelhardt, 1990, pp. 55–68; Holland, 2010, pp. 12–15). What he lacked was not philosophical depth but the specific sorting mechanism—the constitutive/regulative distinction analysed in Chapter 3—by which incoming metaphysical claims could be downgraded from assertions about nature’s structure to heuristic guides for inquiry. Without this filter, Schelling’s constitutive commitments—that nature is productively self-organising, that polarity is ontologically fundamental—were not subjected to level-selective sorting but entered Ritter’s experimental practice directly as operative principles, reaching the inquiry-conception level documented in §4.3–4.5. The consequence was not an intellectual deficit but a structural condition: deep reception was possible precisely because no strong prior epistemological commitment imposed the kind of differential sorting that, as Chapter 5 will show, characterised Ørsted’s selective appropriation. This is a structural claim about conditions under which different varieties of reception emerge, not a biographical observation about Ritter’s limits.</w:t>
      </w:r>
    </w:p>
    <w:p>
      <w:pPr>
        <w:spacing w:line="480" w:lineRule="auto"/>
      </w:pPr>
      <w:r>
        <w:t>Yet the case for constitutive reception need not rest on silence alone. Ritter’s own formulations positively assert ontological commitments exceeding any merely regulative use of Schellingian categories. His declaration that “Everything that is, is only in so far as its opposite also is” (Holland, 2010, p. 182) is stated not as methodological guidance but as a categorical claim about what exists. Breidbach confirms this register: Ritter treated galvanism as the “Grundprinzip alles Lebendigen” and rendered the earth “wirklich lebendig” insofar as it generates life forms (Breidbach, 2004, p. 165) — constitutive characterisation, not regulative ideal. Most revealing is Ritter’s argument that water is not decomposed by galvanism but that evolved gases are products of water combined with electrical forces (cf. Ørsted, 1998, p. 101): the two forces function as real productive agencies constitutive of matter’s behaviour, not convenient fictions organising experimental data. The Physik als Kunst’s programmatic aim of “</w:t>
      </w:r>
      <w:r>
        <w:rPr>
          <w:i/>
        </w:rPr>
        <w:t>Wiedervereinigung</w:t>
      </w:r>
      <w:r>
        <w:t xml:space="preserve"> mit einer getrennten Natur” (Ritter, 1806, pp. 56–57) likewise treats unity as a real condition to be restored rather than a regulative target. Where a Kantian investigator would say “proceed as if forces were unified,” Ritter asserts that they are unified and that physics must realise this unity.</w:t>
      </w:r>
    </w:p>
    <w:p w14:paraId="07B8054F" w14:textId="77777777" w:rsidR="005C2B2A" w:rsidRPr="005C2B2A" w:rsidRDefault="005C2B2A" w:rsidP="005C2B2A">
      <w:pPr>
        <w:spacing w:line="480" w:lineRule="auto"/>
      </w:pPr>
    </w:p>
    <w:p w14:paraId="39B05D6C" w14:textId="77777777" w:rsidR="005C2B2A" w:rsidRPr="005C2B2A" w:rsidRDefault="005C2B2A" w:rsidP="005C2B2A">
      <w:pPr>
        <w:pStyle w:val="2"/>
        <w:spacing w:line="480" w:lineRule="auto"/>
      </w:pPr>
      <w:r>
        <w:rPr>
          <w:rFonts w:ascii="Times New Roman" w:hAnsi="Times New Roman"/>
          <w:b/>
          <w:sz w:val="24"/>
        </w:rPr>
        <w:t>§4.7 Conclusion</w:t>
      </w:r>
    </w:p>
    <w:p w14:paraId="3DFCDB24" w14:textId="77777777" w:rsidR="005C2B2A" w:rsidRPr="005C2B2A" w:rsidRDefault="005C2B2A" w:rsidP="005C2B2A">
      <w:pPr>
        <w:spacing w:line="480" w:lineRule="auto"/>
      </w:pPr>
    </w:p>
    <w:p w14:paraId="286FC4ED" w14:textId="77777777" w:rsidR="005C2B2A" w:rsidRPr="005C2B2A" w:rsidRDefault="005C2B2A" w:rsidP="005C2B2A">
      <w:pPr>
        <w:spacing w:line="480" w:lineRule="auto"/>
      </w:pPr>
      <w:r>
        <w:rPr>
          <w:rFonts w:ascii="Times New Roman" w:hAnsi="Times New Roman"/>
          <w:sz w:val="24"/>
        </w:rPr>
        <w:t>The Ritter case exhibits structural resonance with the Schellingian programme at the inquiry-conception level—the deeper-transfer baseline against which to read the filtered, partial reception in Ørsted’s case.</w:t>
      </w:r>
    </w:p>
    <w:p w14:paraId="62E2918F" w14:textId="77777777" w:rsidR="005C2B2A" w:rsidRPr="005C2B2A" w:rsidRDefault="005C2B2A" w:rsidP="005C2B2A">
      <w:pPr>
        <w:spacing w:line="480" w:lineRule="auto"/>
      </w:pPr>
    </w:p>
    <w:p w14:paraId="28F71682" w14:textId="77777777" w:rsidR="005C2B2A" w:rsidRPr="005C2B2A" w:rsidRDefault="005C2B2A" w:rsidP="005C2B2A">
      <w:pPr>
        <w:pStyle w:val="1"/>
        <w:spacing w:line="480" w:lineRule="auto"/>
      </w:pPr>
      <w:r>
        <w:rPr>
          <w:rFonts w:ascii="Times New Roman" w:hAnsi="Times New Roman"/>
          <w:b/>
          <w:sz w:val="28"/>
        </w:rPr>
        <w:t>Chapter 5: Ørsted and the Kantian Filter — Level-Selective Reception</w:t>
      </w:r>
    </w:p>
    <w:p w14:paraId="2A2740DC" w14:textId="77777777" w:rsidR="005C2B2A" w:rsidRPr="005C2B2A" w:rsidRDefault="005C2B2A" w:rsidP="005C2B2A">
      <w:pPr>
        <w:spacing w:line="480" w:lineRule="auto"/>
      </w:pPr>
    </w:p>
    <w:p w14:paraId="3EF00446" w14:textId="77777777" w:rsidR="005C2B2A" w:rsidRPr="005C2B2A" w:rsidRDefault="005C2B2A" w:rsidP="005C2B2A">
      <w:pPr>
        <w:pStyle w:val="2"/>
        <w:spacing w:line="480" w:lineRule="auto"/>
      </w:pPr>
      <w:r>
        <w:rPr>
          <w:rFonts w:ascii="Times New Roman" w:hAnsi="Times New Roman"/>
          <w:b/>
          <w:sz w:val="24"/>
        </w:rPr>
        <w:t>§5.1 The Ørsted problem</w:t>
      </w:r>
    </w:p>
    <w:p w14:paraId="18E0CECB" w14:textId="77777777" w:rsidR="005C2B2A" w:rsidRPr="005C2B2A" w:rsidRDefault="005C2B2A" w:rsidP="005C2B2A">
      <w:pPr>
        <w:spacing w:line="480" w:lineRule="auto"/>
      </w:pPr>
    </w:p>
    <w:p w14:paraId="036A01AA" w14:textId="77777777" w:rsidR="005C2B2A" w:rsidRPr="005C2B2A" w:rsidRDefault="005C2B2A" w:rsidP="005C2B2A">
      <w:pPr>
        <w:spacing w:line="480" w:lineRule="auto"/>
      </w:pPr>
      <w:r>
        <w:rPr>
          <w:rFonts w:ascii="Times New Roman" w:hAnsi="Times New Roman"/>
          <w:sz w:val="24"/>
        </w:rPr>
        <w:t>If Ritter’s case exhibited structural resonance reaching inquiry-conception, the Ørsted case poses a deeper challenge—one in which evidence points in contradictory directions. Ørsted’s texts simultaneously display Schellingian programmatic commitments and a Kantian epistemological discipline that filtered out the metaphysical apparatus underlying those commitments.</w:t>
      </w:r>
    </w:p>
    <w:p w14:paraId="14CE87EA" w14:textId="77777777" w:rsidR="005C2B2A" w:rsidRPr="005C2B2A" w:rsidRDefault="005C2B2A" w:rsidP="005C2B2A">
      <w:pPr>
        <w:spacing w:line="480" w:lineRule="auto"/>
      </w:pPr>
    </w:p>
    <w:p w14:paraId="5240D57A" w14:textId="77777777" w:rsidR="005C2B2A" w:rsidRPr="005C2B2A" w:rsidRDefault="005C2B2A" w:rsidP="005C2B2A">
      <w:pPr>
        <w:pStyle w:val="2"/>
        <w:spacing w:line="480" w:lineRule="auto"/>
      </w:pPr>
      <w:r>
        <w:rPr>
          <w:rFonts w:ascii="Times New Roman" w:hAnsi="Times New Roman"/>
          <w:b/>
          <w:sz w:val="24"/>
        </w:rPr>
        <w:t>§5.2 Ørsted's Kantian formation</w:t>
      </w:r>
    </w:p>
    <w:p w14:paraId="1C4A8F60" w14:textId="77777777" w:rsidR="005C2B2A" w:rsidRPr="005C2B2A" w:rsidRDefault="005C2B2A" w:rsidP="005C2B2A">
      <w:pPr>
        <w:spacing w:line="480" w:lineRule="auto"/>
      </w:pPr>
    </w:p>
    <w:p w14:paraId="736B187C" w14:textId="77777777" w:rsidR="005C2B2A" w:rsidRPr="005C2B2A" w:rsidRDefault="005C2B2A" w:rsidP="005C2B2A">
      <w:pPr>
        <w:spacing w:line="480" w:lineRule="auto"/>
      </w:pPr>
      <w:r>
        <w:rPr>
          <w:rFonts w:ascii="Times New Roman" w:hAnsi="Times New Roman"/>
          <w:sz w:val="24"/>
        </w:rPr>
        <w:t>Ørsted's initial philosophical path diverged from Schelling and instead involved an intense study of Kantian critical philosophy even before any engagement with any of Schelling's writings. He edited the journal Philosophisk Repertorium from 1798, and he published his Grundtraekkene af Naturmetaphysiken in 1799 — works that rooted him firmly within Kantian natural philosophy. Ørsted's early adherence to Kantian ideas may indeed without exaggeration be said to have determined the whole subsequent direction of his scientific and philosophical interests (Shanahan, 1989, pp. 289–290). According to Christensen, the 1799 dissertation was an "application of the critical philosophy of Kant's Anfangsgründe" (Christensen, 1995: 158–159). The convergence of Shanahan and Christensen here is significant: it positions the Kantian formation as not an ideological background assumption but rather a philosophically articulated position that would shape — and constrain — Ørsted’s later engagement with Schellingian ideas. Kant’s Metaphysische Anfangsgründe provided a full epistemological orientation: dynamical philosophy disciplined by the constitutive/regulative distinction, in which the dynamic theory of matter — with its irreducible opposition between attractive and repulsive forces — opened a conceptual space that Kant himself was unable to fill within the critical framework, and that would later be occupied by Schelling’s programme (Friedman, 2006, ff. pp. 28–32).</w:t>
      </w:r>
    </w:p>
    <w:p w14:paraId="6E97393E" w14:textId="77777777" w:rsidR="005C2B2A" w:rsidRPr="005C2B2A" w:rsidRDefault="005C2B2A" w:rsidP="005C2B2A">
      <w:pPr>
        <w:spacing w:line="480" w:lineRule="auto"/>
      </w:pPr>
    </w:p>
    <w:p w14:paraId="3A7BE474" w14:textId="77777777" w:rsidR="005C2B2A" w:rsidRPr="005C2B2A" w:rsidRDefault="005C2B2A" w:rsidP="005C2B2A">
      <w:pPr>
        <w:spacing w:line="480" w:lineRule="auto"/>
      </w:pPr>
      <w:r>
        <w:rPr>
          <w:rFonts w:ascii="Times New Roman" w:hAnsi="Times New Roman"/>
          <w:sz w:val="24"/>
        </w:rPr>
        <w:t>The Kantian formation was not simply deduced from Ørsted's later views but is attested to in contemporary documents. Harding's correspondence (1920, Vol. 1, p. 254) has this to report of Ørsted and Weiss meeting daily during the winter of 1801–1802 in Berlin: “ils apprenaient tous deux à souffler du verre et étudiaient avec Karsten la métaphysique naturelle de Kant” [they were both learning to blow glass and studying Kant’s natural metaphysics with Karsten] — they were studying Kant’s natural metaphysics with Karsten. This stands as primary evidence of the intellectual formation that the dissertation identifies with as constitutive/regulative filter: a sustained, documented engagement with the very philosophical apparatus out of which Ørsted would construct selective reception of Schellingian content.</w:t>
      </w:r>
    </w:p>
    <w:p w14:paraId="3DF80364" w14:textId="77777777" w:rsidR="005C2B2A" w:rsidRPr="005C2B2A" w:rsidRDefault="005C2B2A" w:rsidP="005C2B2A">
      <w:pPr>
        <w:spacing w:line="480" w:lineRule="auto"/>
      </w:pPr>
    </w:p>
    <w:p w14:paraId="6EA6F794" w14:textId="77777777" w:rsidR="005C2B2A" w:rsidRPr="005C2B2A" w:rsidRDefault="005C2B2A" w:rsidP="005C2B2A">
      <w:pPr>
        <w:spacing w:line="480" w:lineRule="auto"/>
      </w:pPr>
      <w:r>
        <w:rPr>
          <w:rFonts w:ascii="Times New Roman" w:hAnsi="Times New Roman"/>
          <w:sz w:val="24"/>
        </w:rPr>
        <w:t>The most consequential distinction for Ørsted's later practice was that between the regulative force-unity — a heuristic principle of inquiry — of Kant, and Schelling's constitutive force-unity — a metaphysical thesis about what nature actually looks like. It is one thing for a Kantian investigator to seek force-unity as a line of inquiry that may or may not yield results, it is another for the Schellingian investigator to do so as the expression of some philosophical truth already secured. The unity of forces — the question here is always whether Ørsted means this in a regulative sense or constitutive, and that answer determines how strong we take the Schellingian attribution to be. That the constitutive/regulative distinction that Ørsted relied on was itself philosophically unstable in Kant — as 3 shows by way of Di Giovanni's (1979, pp. 197–215) analysis. — means that Ørsted's choice was more broadly philosophical loaded than the term "Kantian rigor" would suggest: he was opting to stay with an unresolved tension in Kant rather than accede to a dissolution of that tension in Schelling. Ørsted himself registered this choice: "I was not able to consider his [Schelling's] natural philosophy as anything but an imperfect attempt to introduce rational coherence into the doctrine of nature" (Harding, 1920, vol. 2, p. 38)—a formulation that preserves the regulative aspiration while refusing the constitutive claim.</w:t>
      </w:r>
    </w:p>
    <w:p w14:paraId="1674EA52" w14:textId="77777777" w:rsidR="005C2B2A" w:rsidRPr="005C2B2A" w:rsidRDefault="005C2B2A" w:rsidP="005C2B2A">
      <w:pPr>
        <w:spacing w:line="480" w:lineRule="auto"/>
      </w:pPr>
    </w:p>
    <w:p w14:paraId="1E4E0184" w14:textId="77777777" w:rsidR="005C2B2A" w:rsidRPr="005C2B2A" w:rsidRDefault="005C2B2A" w:rsidP="005C2B2A">
      <w:pPr>
        <w:pStyle w:val="2"/>
        <w:spacing w:line="480" w:lineRule="auto"/>
      </w:pPr>
      <w:r>
        <w:rPr>
          <w:rFonts w:ascii="Times New Roman" w:hAnsi="Times New Roman"/>
          <w:b/>
          <w:sz w:val="24"/>
        </w:rPr>
        <w:t>§5.3 Allure and jaundiced eye: Ørsted meets Schelling</w:t>
      </w:r>
    </w:p>
    <w:p w14:paraId="319CE17F" w14:textId="77777777" w:rsidR="005C2B2A" w:rsidRPr="005C2B2A" w:rsidRDefault="005C2B2A" w:rsidP="005C2B2A">
      <w:pPr>
        <w:spacing w:line="480" w:lineRule="auto"/>
      </w:pPr>
    </w:p>
    <w:p w14:paraId="6A8395FB" w14:textId="77777777" w:rsidR="005C2B2A" w:rsidRPr="005C2B2A" w:rsidRDefault="005C2B2A" w:rsidP="005C2B2A">
      <w:pPr>
        <w:spacing w:line="480" w:lineRule="auto"/>
      </w:pPr>
      <w:r>
        <w:rPr>
          <w:rFonts w:ascii="Times New Roman" w:hAnsi="Times New Roman"/>
          <w:sz w:val="24"/>
        </w:rPr>
        <w:t>Ørsted's first attack on Schelling came in 1799 and is sustained throughout: "he [Schelling] intermingles empirical propositions without distinguishing them from a priori propositions sufficiently," Ørsted (1799, Skrifter I, p. 71; cited in Shanahan, 1989, pp. 297–298), and he lacks "the same rigorousness of philosophical construction as Kant" (Ørsted (1875b, Breve I, pp. 81–82; cited in Shanahan, 1989, p. 298). The critique addresses the epistemological-methodological level — Schelling’s inability to sustain the a priori/empirical distinction as Kantian discipline demands — while leaving the heuristic-programmatic level immune. What excited Ørsted was not the mere experimental method but the programmatic ambition — the view of nature as an interconnected system of forces whose relationships could be explored through systematic investigation. Ørsted's long career polemic was consistent: He became increasingly critical of purely speculative philosophy, reproaching it for being out of touch with reality (Christensen 2013).</w:t>
      </w:r>
    </w:p>
    <w:p w14:paraId="551DBE03" w14:textId="77777777" w:rsidR="005C2B2A" w:rsidRPr="005C2B2A" w:rsidRDefault="005C2B2A" w:rsidP="005C2B2A">
      <w:pPr>
        <w:spacing w:line="480" w:lineRule="auto"/>
      </w:pPr>
    </w:p>
    <w:p w14:paraId="710F4E48" w14:textId="77777777" w:rsidR="005C2B2A" w:rsidRPr="005C2B2A" w:rsidRDefault="005C2B2A" w:rsidP="005C2B2A">
      <w:pPr>
        <w:spacing w:line="480" w:lineRule="auto"/>
      </w:pPr>
      <w:r>
        <w:rPr>
          <w:rFonts w:ascii="Times New Roman" w:hAnsi="Times New Roman"/>
          <w:sz w:val="24"/>
        </w:rPr>
        <w:t xml:space="preserve">But the story became complicated by a late-life retrospective attribution in which Ørsted attributed his discovery to “der von Schelling erhaltenen Anregung” [the stimulus received from Schelling] — that is, the stimulus received from Schelling (Beetz, 1873 p. 17; cited in Stauffer 1957 p. 35). Anregung (stimulus) is, on the present reading, the weakest term for intellectual debt — situated well below </w:t>
      </w:r>
      <w:r>
        <w:rPr>
          <w:rFonts w:ascii="Times New Roman" w:hAnsi="Times New Roman"/>
          <w:sz w:val="24"/>
          <w:i/>
        </w:rPr>
        <w:t>Bestimmung</w:t>
      </w:r>
      <w:r>
        <w:rPr>
          <w:rFonts w:ascii="Times New Roman" w:hAnsi="Times New Roman"/>
          <w:sz w:val="24"/>
        </w:rPr>
        <w:t xml:space="preserve"> (determination) in the semantic hierarchy of reception or Leitung (guidance). In the face of the career-long record of critique at the epistemological-methodological level, this amounts to heuristic stimulus at best, not structural determination of inquiry. The most telling is Ørsted’s comment “a great fundamental unity pervades the whole of nature; but just when one has become convinced that this is true, then it becomes doubly essential to address all your attention toward the world of the manifold” (Hauch, 1853, p. 13, quoted in Stauffer, 1957, p. 39). The first clause is, perhaps, Schellingian; the second — and now we can start to feel an unusual strain in this invocation of unity — is Kantian, a kind of unity-conviction mediated through the empirical discipline of Kant himself, a regulative commitment enforced against constitutive temptations.</w:t>
      </w:r>
    </w:p>
    <w:p w14:paraId="733B0E26" w14:textId="77777777" w:rsidR="005C2B2A" w:rsidRPr="005C2B2A" w:rsidRDefault="005C2B2A" w:rsidP="005C2B2A">
      <w:pPr>
        <w:spacing w:line="480" w:lineRule="auto"/>
      </w:pPr>
    </w:p>
    <w:p w14:paraId="3B9ABA85" w14:textId="77777777" w:rsidR="005C2B2A" w:rsidRPr="005C2B2A" w:rsidRDefault="005C2B2A" w:rsidP="005C2B2A">
      <w:pPr>
        <w:pStyle w:val="2"/>
        <w:spacing w:line="480" w:lineRule="auto"/>
      </w:pPr>
      <w:r>
        <w:rPr>
          <w:rFonts w:ascii="Times New Roman" w:hAnsi="Times New Roman"/>
          <w:b/>
          <w:sz w:val="24"/>
        </w:rPr>
        <w:t>§5.4 The Ritter mediation channel</w:t>
      </w:r>
    </w:p>
    <w:p w14:paraId="39F25DC1" w14:textId="77777777" w:rsidR="005C2B2A" w:rsidRPr="005C2B2A" w:rsidRDefault="005C2B2A" w:rsidP="005C2B2A">
      <w:pPr>
        <w:spacing w:line="480" w:lineRule="auto"/>
      </w:pPr>
    </w:p>
    <w:p w14:paraId="22037BFF" w14:textId="77777777" w:rsidR="005C2B2A" w:rsidRPr="005C2B2A" w:rsidRDefault="005C2B2A" w:rsidP="005C2B2A">
      <w:pPr>
        <w:spacing w:line="480" w:lineRule="auto"/>
      </w:pPr>
      <w:r>
        <w:rPr>
          <w:rFonts w:ascii="Times New Roman" w:hAnsi="Times New Roman"/>
          <w:sz w:val="24"/>
        </w:rPr>
        <w:t xml:space="preserve">The most powerful conduit for the experimentally generative effect of </w:t>
      </w:r>
      <w:r>
        <w:rPr>
          <w:rFonts w:ascii="Times New Roman" w:hAnsi="Times New Roman"/>
          <w:sz w:val="24"/>
          <w:i/>
          <w:iCs/>
        </w:rPr>
        <w:t>Naturphilosophie</w:t>
      </w:r>
      <w:r>
        <w:rPr>
          <w:rFonts w:ascii="Times New Roman" w:hAnsi="Times New Roman"/>
          <w:sz w:val="24"/>
        </w:rPr>
        <w:t xml:space="preserve"> to Ørsted was not Schelling's texts but Ritter's practice. Ørsted, having met Ritter in September 1801 (Harding, 1920, Vol. 2, p. 2), and the acquaintance “became especially important” (Christensen, 1995, pp. 161–162). The most circumstantial evidence of intellectual transmission comes from Ørsted’s own testimony. In the Selected Scientific Works (1998) he details his direct credit to Ritter for what came to be known as that two-forces doctrine — the opposition and neutralisation structure that would come to be central, a decade later, in electromagnetic theory: "When Ritter by varying these experiments made it probable that water was not composite but one of each of the carboniferous gases contained products itself formed together with one of the electric substances or forces..." (Ørsted, 1998, p. 101). Ørsted commended Ritter specifically for separating “the experimental part from the hypothetical” (Christensen, 1995, p. 162) — one of the very dividing lines that Ørsted found unpracticed in Schelling.</w:t>
      </w:r>
    </w:p>
    <w:p w14:paraId="7AB8B907" w14:textId="77777777" w:rsidR="005C2B2A" w:rsidRPr="005C2B2A" w:rsidRDefault="005C2B2A" w:rsidP="005C2B2A">
      <w:pPr>
        <w:spacing w:line="480" w:lineRule="auto"/>
      </w:pPr>
    </w:p>
    <w:p w14:paraId="1B9F481E" w14:textId="77777777" w:rsidR="005C2B2A" w:rsidRPr="005C2B2A" w:rsidRDefault="005C2B2A" w:rsidP="005C2B2A">
      <w:pPr>
        <w:spacing w:line="480" w:lineRule="auto"/>
      </w:pPr>
      <w:r>
        <w:t>Ritter mediated Schelling by effectively dismantling the speculative deductive apparatus and conserving the programmatic content. The role of the mediation channel was as a transformer: it translated Schelling’s constitutive metaphysics into a regulative framework compatible with Ørsted’s Kantian commitments. The magnetochemistry collaboration (Martins, 2007, p. 204) is a concrete example of this. Through both Ritter and Örsted, one instance in which Kantian epistemological commitments were maintained was through participation in a Schellingian research programme. The unity-conviction propelled the quest for magnetochemical effects; Kantian discipline dictated how the quest was undertaken and how findings were judged.</w:t>
      </w:r>
    </w:p>
    <w:p w14:paraId="489E6311" w14:textId="77777777" w:rsidR="005C2B2A" w:rsidRPr="005C2B2A" w:rsidRDefault="005C2B2A" w:rsidP="005C2B2A">
      <w:pPr>
        <w:spacing w:line="480" w:lineRule="auto"/>
      </w:pPr>
    </w:p>
    <w:p w14:paraId="7F4B578B" w14:textId="77777777" w:rsidR="005C2B2A" w:rsidRPr="005C2B2A" w:rsidRDefault="005C2B2A" w:rsidP="005C2B2A">
      <w:pPr>
        <w:spacing w:line="480" w:lineRule="auto"/>
      </w:pPr>
      <w:r>
        <w:rPr>
          <w:rFonts w:ascii="Times New Roman" w:hAnsi="Times New Roman"/>
          <w:sz w:val="24"/>
        </w:rPr>
      </w:r>
    </w:p>
    <w:p w14:paraId="086A5D92" w14:textId="77777777" w:rsidR="005C2B2A" w:rsidRPr="005C2B2A" w:rsidRDefault="005C2B2A" w:rsidP="005C2B2A">
      <w:pPr>
        <w:spacing w:line="480" w:lineRule="auto"/>
      </w:pPr>
    </w:p>
    <w:p w14:paraId="65F9D2D5" w14:textId="77777777" w:rsidR="005C2B2A" w:rsidRPr="005C2B2A" w:rsidRDefault="005C2B2A" w:rsidP="005C2B2A">
      <w:pPr>
        <w:pStyle w:val="2"/>
        <w:spacing w:line="480" w:lineRule="auto"/>
      </w:pPr>
      <w:r>
        <w:rPr>
          <w:rFonts w:ascii="Times New Roman" w:hAnsi="Times New Roman"/>
          <w:b/>
          <w:sz w:val="24"/>
        </w:rPr>
        <w:t>§5.5 The 1820 discovery: mapping programmatic influence</w:t>
      </w:r>
    </w:p>
    <w:p w14:paraId="3C1A17D6" w14:textId="77777777" w:rsidR="005C2B2A" w:rsidRPr="005C2B2A" w:rsidRDefault="005C2B2A" w:rsidP="005C2B2A">
      <w:pPr>
        <w:spacing w:line="480" w:lineRule="auto"/>
      </w:pPr>
    </w:p>
    <w:p w14:paraId="50113A24" w14:textId="77777777" w:rsidR="005C2B2A" w:rsidRPr="005C2B2A" w:rsidRDefault="005C2B2A" w:rsidP="005C2B2A">
      <w:pPr>
        <w:spacing w:line="480" w:lineRule="auto"/>
      </w:pPr>
      <w:r>
        <w:rPr>
          <w:rFonts w:ascii="Times New Roman" w:hAnsi="Times New Roman"/>
          <w:sz w:val="24"/>
        </w:rPr>
        <w:t>The programmatic convictions that had gained strength in the Ritter partnership were continued over the next decade and consolidated into Ørsted’s more articulated Kantian epistemological framework. The primary evidence for mapping the Schellingian programme to the discovery is contained in Ørsted’s own writings. And in the 1812 View of Chemical Laws (Ørsted, 1998), Ørsted expressed the force-unity conviction with language displaying constitutive/regulative tension at a single moment: “Opposite forces must seek each other everywhere in nature. Each force calls for its opposite” — a vocabulary redolent of Schellingian polarity — but immediately followed by: “We are simply adopting the usage of calling each active property a force” — Kantian caution against metaphysical commitment to the nature of forces. The concept of polarity thus undergoes a semantic transformation that the constitutive/regulative filter makes legible. For Ritter, polarity names an ontological structure: “Everything that is comes into being only through an Opposite” (Holland, 2010, p. 182) — opposition is constitutive of what nature is. For Ørsted, the same term operates under epistemic quarantine: the opposing-forces vocabulary just cited is immediately hedged by treating “force” as an adopted usage rather than a metaphysical commitment — opposition becomes a regulative vocabulary for organising inquiry, not a claim about nature’s inner constitution. The word Polarität is shared; the conceptual load it carries is not. This differential semantics is precisely the trace that the constitutive/regulative filter leaves in the textual record. Returning to the 1812 View, the programmatic specification is explicit: “One should test whether electricity in its most latent form has any action on the magnet” (Ørsted, Recherches, pp. 234–238; Cited in Stauffer 1957, pp. 38–39) — conviction of general unified force translated into a specific research target eight years before the discovery.</w:t>
      </w:r>
    </w:p>
    <w:p>
      <w:pPr>
        <w:spacing w:line="480" w:lineRule="auto"/>
      </w:pPr>
      <w:r>
        <w:t>The arrangement through which this programmatic conviction found empirical confirmation was described in the Experimenta circa effectum conflictus electrici in acum magneticam (Ørsted, 1820, pp. 413–416). A straight connecting wire, joined at both ends to a galvanic apparatus of sufficient power, was placed directly over a freely suspended magnetic needle, positioned parallel to its axis. When the circuit was closed, the needle was deflected from its resting position toward the west. When the wire was moved beneath the needle, the deflection reversed — the needle now swung toward the east. Ørsted varied the arrangement systematically: interposing glass, metal, wood, and water between the wire and the needle, he found that none of these non-magnetic bodies could screen off the deflecting action (Ørsted, 1820, pp. 415–416). The lateral character of this effect — perpendicular to the wire rather than along it — and its circular geometry were not merely observed but interpreted through the concept of an “electric conflict” (</w:t>
      </w:r>
      <w:r>
        <w:rPr>
          <w:i/>
        </w:rPr>
        <w:t>conflictus electricus</w:t>
      </w:r>
      <w:r>
        <w:t>) acting in spirals around the conducting wire. What the apparatus disclosed was thus read through the philosophical grammar of dynamic opposition: two counter-directed magnetic forces, rotating in contrary senses, which together constituted the unity of electromagnetism as productive polarity rather than static attraction.</w:t>
      </w:r>
    </w:p>
    <w:p w14:paraId="3FF06945" w14:textId="77777777" w:rsidR="005C2B2A" w:rsidRPr="005C2B2A" w:rsidRDefault="005C2B2A" w:rsidP="005C2B2A">
      <w:pPr>
        <w:spacing w:line="480" w:lineRule="auto"/>
      </w:pPr>
    </w:p>
    <w:p w14:paraId="05034F04" w14:textId="77777777" w:rsidR="005C2B2A" w:rsidRPr="005C2B2A" w:rsidRDefault="005C2B2A" w:rsidP="005C2B2A">
      <w:pPr>
        <w:spacing w:line="480" w:lineRule="auto"/>
      </w:pPr>
      <w:r>
        <w:t>According to Ørsted's retrospective account of 1821 (Ørsted, 1998, p. 425), he then "deduced" from his chemical theory that "magnetism must be produced by electrical forces in their most bound state." The verb “deduced” registers the programmatic nature — a philosophical belief producing a particular experimental prediction. But such passages are linguistic restraint: “What we here for the moment call electricity is really not that, in the strictest sense of the word” (Ørsted, 1998, p. 426) — epistemological caution against claiming knowledge of forces as they are in themselves. The potentiation model of Berger (2024, p. 571) justifies why the electricity-magnetism relation was philosophically important: the triplet magnetism-electricity-chemical process is the second potency in Schelling’s system, or the special realm upon which nature’s inner dynamism becomes qualitatively determinate. As Berger explains that Ørsted’s key discovery was “due, in part, to Schelling’s explanation of the relationship between magnetism and electricity.” This dissertation hones what was owed: namely, a programmatic specification of the electricity-magnetism interface as a target of research ambitions that were mediated through Ritter, while leaving the epistemological machinery — the sense of intervention enacted by experiment, its relationship with theoretical positioning, the metaphysical commitments that guided inquiry — Kantian. The Schellingian-Ritterian tradition lent the experimental specification;</w:t>
      </w:r>
    </w:p>
    <w:p>
      <w:pPr>
        <w:spacing w:line="480" w:lineRule="auto"/>
      </w:pPr>
      <w:r>
        <w:t xml:space="preserve">One must acknowledge the counterfactual possibility: Kant’s own resources — the regulative demand for force-unity in the Anfangsgründe, the teleological hints of the third Critique — might alone have generated the research direction. That is precisely why this analysis establishes heuristic-programmatic reception rather than causal determination.</w:t>
      </w:r>
    </w:p>
    <w:p w14:paraId="6AFB02D9" w14:textId="77777777" w:rsidR="005C2B2A" w:rsidRPr="005C2B2A" w:rsidRDefault="005C2B2A" w:rsidP="005C2B2A">
      <w:pPr>
        <w:spacing w:line="480" w:lineRule="auto"/>
      </w:pPr>
    </w:p>
    <w:p w14:paraId="3AA93A17" w14:textId="77777777" w:rsidR="005C2B2A" w:rsidRPr="005C2B2A" w:rsidRDefault="005C2B2A" w:rsidP="005C2B2A">
      <w:pPr>
        <w:spacing w:line="480" w:lineRule="auto"/>
      </w:pPr>
      <w:r>
        <w:rPr>
          <w:rFonts w:ascii="Times New Roman" w:hAnsi="Times New Roman"/>
          <w:sz w:val="24"/>
        </w:rPr>
        <w:t>The 1820 discovery thereby uncovered three distinct layers of intellectual genealogy. The first layer is programmatic: the force-unity conviction directed Ørsted’s experimental attention toward the electricity–magnetism relation. The second is epistemological: the Kantian filter ensured that the quest for unity operated as a regulative principle, not a constitutive metaphysical claim. The third—deepest—is a shared ground, both Kantian and Schellingian, in which the philosophical grammar of unity-through-opposition provided the conceptual toolkit. This shared ground is not merely a residual overlap but a structural feature of the post-Kantian situation: because Schelling's programme extended rather than abandoned the tensions internal to Kant's system, any scientist formed by Kant already inhabited the conceptual space from which Schelling's innovations departed. Friedman’s developmental reading (2006, pp. 28–32) converges with this analysis: Schelling’s programme extends rather than opposes the unresolved tensions in Kant’s Anfangsgründe. What appears “Kantian” in Ørsted may already contain Schelling’s insight in muted form. The 1820 observation was thus not born of a single philosophical tradition but from a layered reception in which Kantian epistemological discipline and Schellingian programmatic vision cohabited—a cohabitation made possible by the instability of the constitutive/regulative distinction itself.</w:t>
      </w:r>
    </w:p>
    <w:p w14:paraId="0926568E" w14:textId="77777777" w:rsidR="005C2B2A" w:rsidRPr="005C2B2A" w:rsidRDefault="005C2B2A" w:rsidP="005C2B2A">
      <w:pPr>
        <w:spacing w:line="480" w:lineRule="auto"/>
      </w:pPr>
    </w:p>
    <w:p w14:paraId="1ED34308" w14:textId="77777777" w:rsidR="005C2B2A" w:rsidRPr="005C2B2A" w:rsidRDefault="005C2B2A" w:rsidP="005C2B2A">
      <w:pPr>
        <w:pStyle w:val="2"/>
        <w:spacing w:line="480" w:lineRule="auto"/>
      </w:pPr>
      <w:r>
        <w:rPr>
          <w:rFonts w:ascii="Times New Roman" w:hAnsi="Times New Roman"/>
          <w:b/>
          <w:sz w:val="24"/>
        </w:rPr>
        <w:t>§5.6 The specificity of the filter: what was out</w:t>
      </w:r>
    </w:p>
    <w:p w14:paraId="29BF3B49" w14:textId="77777777" w:rsidR="005C2B2A" w:rsidRPr="005C2B2A" w:rsidRDefault="005C2B2A" w:rsidP="005C2B2A">
      <w:pPr>
        <w:spacing w:line="480" w:lineRule="auto"/>
      </w:pPr>
    </w:p>
    <w:p w14:paraId="28522DE5" w14:textId="77777777" w:rsidR="005C2B2A" w:rsidRPr="005C2B2A" w:rsidRDefault="005C2B2A" w:rsidP="005C2B2A">
      <w:pPr>
        <w:spacing w:line="480" w:lineRule="auto"/>
      </w:pPr>
      <w:r>
        <w:rPr>
          <w:rFonts w:ascii="Times New Roman" w:hAnsi="Times New Roman"/>
          <w:sz w:val="24"/>
        </w:rPr>
        <w:t xml:space="preserve">Gardner (2019, pp. 271–292) specifies with philosophical precision what the Kantian filter excluded from Schelling’s substantive reinterpretation of the transcendental turn. On the concern with justification: Ørsted reintroduced in Kantian fashion an epistemic caution — the de jure question of warrant displaced by Schelling in favour of factical cognition. On subjectivism: Ørsted reinstated it to a degree — the </w:t>
      </w:r>
      <w:r>
        <w:rPr>
          <w:rFonts w:ascii="Times New Roman" w:hAnsi="Times New Roman"/>
          <w:sz w:val="24"/>
          <w:i/>
          <w:iCs/>
        </w:rPr>
        <w:t>Gedankenexperiment</w:t>
      </w:r>
      <w:r>
        <w:rPr>
          <w:rFonts w:ascii="Times New Roman" w:hAnsi="Times New Roman"/>
          <w:sz w:val="24"/>
        </w:rPr>
        <w:t xml:space="preserve"> is subject-led, reason pre-structuring what is allowable in inquiry rather than accepting whatever nature presents. Freedom–nature co-rationality: Ørsted forfeited this, retrieving only the nature side of Kant’s dualistic separation between rational subject and object. On the status of the philosophical question: Ørsted reconceived it as methodological rather than ontological — “we leave completely open what these forces are” (Ørsted, 1998). On each of Gardner’s four dimensions, Ørsted’s documented positions consistently diverge from Schelling’s substantive reinterpretation, with the partial exception of the subjectivism point. This is considerably more precise than the vague caveat “rejected speculative procedure” — it identifies the exact philosophical commitments that the Kantian filter prevented from passing through.</w:t>
      </w:r>
    </w:p>
    <w:p w14:paraId="73B783E1" w14:textId="77777777" w:rsidR="005C2B2A" w:rsidRPr="005C2B2A" w:rsidRDefault="005C2B2A" w:rsidP="005C2B2A">
      <w:pPr>
        <w:spacing w:line="480" w:lineRule="auto"/>
      </w:pPr>
    </w:p>
    <w:p w14:paraId="624B38D6" w14:textId="77777777" w:rsidR="005C2B2A" w:rsidRPr="005C2B2A" w:rsidRDefault="005C2B2A" w:rsidP="005C2B2A">
      <w:pPr>
        <w:spacing w:line="480" w:lineRule="auto"/>
      </w:pPr>
      <w:r>
        <w:rPr>
          <w:rFonts w:ascii="Times New Roman" w:hAnsi="Times New Roman"/>
          <w:sz w:val="24"/>
        </w:rPr>
        <w:t xml:space="preserve">This relates to a function of the filter that is substitution, rather than mere exclusion. On Schmid’s (2018, pp. 15–16) reconstruction, Schelling’s </w:t>
      </w:r>
      <w:r>
        <w:rPr>
          <w:rFonts w:ascii="Times New Roman" w:hAnsi="Times New Roman"/>
          <w:sz w:val="24"/>
          <w:i/>
        </w:rPr>
        <w:t>Darstellung</w:t>
      </w:r>
      <w:r>
        <w:rPr>
          <w:rFonts w:ascii="Times New Roman" w:hAnsi="Times New Roman"/>
          <w:sz w:val="24"/>
        </w:rPr>
        <w:t xml:space="preserve"> situated experiment as a site of ontological disclosure: the experiment provides conditions under which "nature’s own productivity becomes visible," and the philosopher’s construction mirrors rather than interrogates the generative process it investigates. Ørsted replaced this with what Witt-Hansen (1976, pp. 53–55) identifies as the </w:t>
      </w:r>
      <w:r>
        <w:rPr>
          <w:rFonts w:ascii="Times New Roman" w:hAnsi="Times New Roman"/>
          <w:sz w:val="24"/>
          <w:i/>
        </w:rPr>
        <w:t>Gedankenexperiment</w:t>
      </w:r>
      <w:r>
        <w:rPr>
          <w:rFonts w:ascii="Times New Roman" w:hAnsi="Times New Roman"/>
          <w:sz w:val="24"/>
        </w:rPr>
        <w:t xml:space="preserve"> — a term Ørsted himself coined as early as 1811, well before Mach’s better-known usage. In the First Introduction to General Physics, Ørsted defined these as conjectures "really to be regarded as thought experiments through which we wish to discover whether something can be explained by a specific assumption in connection with other natural laws" (Ørsted, 1811, cited in Witt-Hansen, 1976, p. 54). Where Schelling’s experimenter receives what nature exhibits through its own productive opposition, Ørsted’s experimenter stipulates in advance the conditions under which nature must respond. The concept of experiment itself registers this divergence. Under Schelling’s Darstellung, experiment is a site of ontological participation — the philosopher-experimenter constructs conditions under which nature exhibits its own productive power (Schmid, 2018). Under Ørsted’s Gedankenexperiment, experiment is an exercise of methodological sovereignty — reason legislates the terms under which nature may be interrogated. Both Ritter and Ørsted called what they did “experiment,” but the conceptual content of the term had passed through different philosophical filters. Ritter’s experiment realises nature; Ørsted’s experiment tests nature. The shared word conceals a constitutive/regulative fissure at the heart of early-nineteenth-century experimental practice. Both are "experimental" in the sense of guiding empirical investigation, but they encode opposing epistemological relations between subject and nature: the Darstellung places the productive agency in nature; the Gedankenexperiment places it in reason. This substitution is what gives the level-selective uptake its positive character. The filter did not simply prevent the passage of Schellingian claims but replaced an episteme with a Kantian one — the retained programmatic content (force-unity, the electricity-magnetism target) could be pursued precisely because it was re-grounded in a conception of experiment that the constitutive/regulative filter permitted.</w:t>
      </w:r>
    </w:p>
    <w:p w14:paraId="7AD04B5F" w14:textId="77777777" w:rsidR="005C2B2A" w:rsidRPr="005C2B2A" w:rsidRDefault="005C2B2A" w:rsidP="005C2B2A">
      <w:pPr>
        <w:spacing w:line="480" w:lineRule="auto"/>
      </w:pPr>
    </w:p>
    <w:p w14:paraId="23E86F5A" w14:textId="77777777" w:rsidR="005C2B2A" w:rsidRPr="005C2B2A" w:rsidRDefault="005C2B2A" w:rsidP="005C2B2A">
      <w:pPr>
        <w:spacing w:line="480" w:lineRule="auto"/>
      </w:pPr>
      <w:r>
        <w:rPr>
          <w:rFonts w:ascii="Times New Roman" w:hAnsi="Times New Roman"/>
          <w:sz w:val="24"/>
        </w:rPr>
        <w:t xml:space="preserve">The resolution lies in framing the constitutive/regulative tension as a matter of epistemic disposition rather than causal determination. The Kantian filter did not causally produce Ørsted’s discovery; it disposed his inquiry toward certain empirical domains—the electricity–magnetism nexus inherited from Ritter—while systematically filtering out the metaphysical apparatus of Schelling’s </w:t>
      </w:r>
      <w:r>
        <w:rPr>
          <w:rFonts w:ascii="Times New Roman" w:hAnsi="Times New Roman"/>
          <w:sz w:val="24"/>
          <w:i/>
        </w:rPr>
        <w:t>Darstellung</w:t>
      </w:r>
      <w:r>
        <w:rPr>
          <w:rFonts w:ascii="Times New Roman" w:hAnsi="Times New Roman"/>
          <w:sz w:val="24"/>
        </w:rPr>
        <w:t>. This is a claim about epistemic orientation: the structural conditions under which a programme of research could be pursued, not a sufficient cause from which the discovery followed by necessity. Had the relation been one of causal determination, one would expect Ørsted's experimental design to replicate the specific deductive structure of Schelling's Darstellung—deriving predictions from constitutive principles about force-identity. Instead, Ørsted pursued unity as a regulative desideratum, licensing the search without entailing the metaphysical apparatus: precisely the signature of disposition rather than determination. The disposition did not merely explain Ørsted’s selective reception after the fact; it constituted the prior condition that made level-selective reception possible. Because Ørsted had internalised the Kantian framework before encountering Schelling, his epistemic apparatus was already configured to admit programmatic content while blocking constitutive metaphysical commitments—a configuration that the absence of such prior formation in Ritter’s case rendered unnecessary.</w:t>
      </w:r>
    </w:p>
    <w:p w14:paraId="2704A2A5" w14:textId="77777777" w:rsidR="005C2B2A" w:rsidRPr="005C2B2A" w:rsidRDefault="005C2B2A" w:rsidP="005C2B2A">
      <w:pPr>
        <w:spacing w:line="480" w:lineRule="auto"/>
      </w:pPr>
    </w:p>
    <w:p w14:paraId="77E04A56" w14:textId="77777777" w:rsidR="005C2B2A" w:rsidRPr="005C2B2A" w:rsidRDefault="005C2B2A" w:rsidP="005C2B2A">
      <w:pPr>
        <w:spacing w:line="480" w:lineRule="auto"/>
      </w:pPr>
      <w:r>
        <w:rPr>
          <w:rFonts w:ascii="Times New Roman" w:hAnsi="Times New Roman"/>
          <w:sz w:val="24"/>
        </w:rPr>
        <w:t xml:space="preserve">The asymmetric outcome of the Ørsted case is now legible: heuristic-programmatic reception confirmed (the quest for force-unity, specification of the electricity–magnetism target), epistemological-methodological reception denied (the </w:t>
      </w:r>
      <w:r>
        <w:rPr>
          <w:rFonts w:ascii="Times New Roman" w:hAnsi="Times New Roman"/>
          <w:sz w:val="24"/>
          <w:i/>
        </w:rPr>
        <w:t>Darstellung</w:t>
      </w:r>
      <w:r>
        <w:rPr>
          <w:rFonts w:ascii="Times New Roman" w:hAnsi="Times New Roman"/>
          <w:sz w:val="24"/>
        </w:rPr>
        <w:t xml:space="preserve"> conception of experiment, the ontological reconception of the philosophical question). The filter was not a vague “preference for Kant” but a determinate philosophical apparatus whose operation can be traced at the level of specific commitments. On Gardner’s four dimensions—factical cognition, anti-subjectivism, freedom, and ontological reorientation—Ørsted’s filter operated selectively: the research direction passed through, but the deeper epistemological reworking was blocked. The pattern thus confirms the dissertation’s central claim: the strength of the constitutive/regulative filter determined not whether Schellingian content was received but which level of content could be assimilated.</w:t>
      </w:r>
    </w:p>
    <w:p w14:paraId="7290C07F" w14:textId="77777777" w:rsidR="005C2B2A" w:rsidRPr="005C2B2A" w:rsidRDefault="005C2B2A" w:rsidP="005C2B2A">
      <w:pPr>
        <w:spacing w:line="480" w:lineRule="auto"/>
      </w:pPr>
    </w:p>
    <w:p w14:paraId="3635C0B3" w14:textId="77777777" w:rsidR="005C2B2A" w:rsidRPr="005C2B2A" w:rsidRDefault="005C2B2A" w:rsidP="005C2B2A">
      <w:pPr>
        <w:spacing w:line="480" w:lineRule="auto"/>
      </w:pPr>
      <w:r>
        <w:rPr>
          <w:rFonts w:ascii="Times New Roman" w:hAnsi="Times New Roman"/>
          <w:sz w:val="24"/>
        </w:rPr>
        <w:t>What emerges from the two cases is a pattern: differential reception in each that correlates with the respective strength of the constitutive/regulative filter. This pattern — not any single attribution claim — constitutes the central finding of the dissertation. Chapter 6 draws the structural comparison and evaluates what this pattern reveals about the relationship between philosophy and scientific practice.</w:t>
      </w:r>
    </w:p>
    <w:p w14:paraId="472E508B" w14:textId="77777777" w:rsidR="005C2B2A" w:rsidRPr="005C2B2A" w:rsidRDefault="005C2B2A" w:rsidP="005C2B2A">
      <w:pPr>
        <w:spacing w:line="480" w:lineRule="auto"/>
      </w:pPr>
    </w:p>
    <w:p w14:paraId="56D4C334" w14:textId="77777777" w:rsidR="005C2B2A" w:rsidRPr="005C2B2A" w:rsidRDefault="005C2B2A" w:rsidP="005C2B2A">
      <w:pPr>
        <w:pStyle w:val="1"/>
        <w:spacing w:line="480" w:lineRule="auto"/>
      </w:pPr>
      <w:r>
        <w:rPr>
          <w:rFonts w:ascii="Times New Roman" w:hAnsi="Times New Roman"/>
          <w:b/>
          <w:sz w:val="28"/>
        </w:rPr>
        <w:t>Chapter 6: Structural Finding as Differential Reception</w:t>
      </w:r>
    </w:p>
    <w:p w14:paraId="3B519282" w14:textId="77777777" w:rsidR="005C2B2A" w:rsidRPr="005C2B2A" w:rsidRDefault="005C2B2A" w:rsidP="005C2B2A">
      <w:pPr>
        <w:spacing w:line="480" w:lineRule="auto"/>
      </w:pPr>
    </w:p>
    <w:p w14:paraId="436E5F4A" w14:textId="77777777" w:rsidR="005C2B2A" w:rsidRPr="005C2B2A" w:rsidRDefault="005C2B2A" w:rsidP="005C2B2A">
      <w:pPr>
        <w:pStyle w:val="2"/>
        <w:spacing w:line="480" w:lineRule="auto"/>
      </w:pPr>
      <w:r>
        <w:rPr>
          <w:rFonts w:ascii="Times New Roman" w:hAnsi="Times New Roman"/>
          <w:b/>
          <w:sz w:val="24"/>
        </w:rPr>
        <w:lastRenderedPageBreak/>
        <w:t>§6.1 The structural comparison</w:t>
      </w:r>
    </w:p>
    <w:p w14:paraId="7C4A8075" w14:textId="77777777" w:rsidR="005C2B2A" w:rsidRPr="005C2B2A" w:rsidRDefault="005C2B2A" w:rsidP="005C2B2A">
      <w:pPr>
        <w:spacing w:line="480" w:lineRule="auto"/>
      </w:pPr>
    </w:p>
    <w:p w14:paraId="512EFBE5" w14:textId="77777777" w:rsidR="005C2B2A" w:rsidRPr="005C2B2A" w:rsidRDefault="005C2B2A" w:rsidP="005C2B2A">
      <w:pPr>
        <w:spacing w:line="480" w:lineRule="auto"/>
      </w:pPr>
      <w:r>
        <w:rPr>
          <w:rFonts w:ascii="Times New Roman" w:hAnsi="Times New Roman"/>
          <w:sz w:val="24"/>
        </w:rPr>
        <w:t>The same Schellingian programme—systematic unity, dynamic polarity, speculative principles under empirical risk, experiment as theory-led intervention—entered two differently configured epistemic contexts and produced structurally different reception patterns. In Ritter’s case, the three elements with clearly Schellingian provenance attained the inquiry-conception level: the filter was weak, and the result was deep structural uptake. Ørsted’s reception was heuristic-programmatic only: the force-unity search and electricity–magnetism target were accepted, but the epistemological apparatus—conception of experiment, metaphysical grounding of inquiry—was filtered by a strong Kantian sieve attested in his study with Karsten (Harding, 1920, Vol. 1, p. 254) and performed throughout a career of critical engagement with Schelling.</w:t>
      </w:r>
    </w:p>
    <w:p w14:paraId="12824F8B" w14:textId="77777777" w:rsidR="005C2B2A" w:rsidRPr="005C2B2A" w:rsidRDefault="005C2B2A" w:rsidP="005C2B2A">
      <w:pPr>
        <w:spacing w:line="480" w:lineRule="auto"/>
      </w:pPr>
    </w:p>
    <w:p w14:paraId="2C3248AF" w14:textId="77777777" w:rsidR="005C2B2A" w:rsidRPr="005C2B2A" w:rsidRDefault="005C2B2A" w:rsidP="005C2B2A">
      <w:pPr>
        <w:spacing w:line="480" w:lineRule="auto"/>
      </w:pPr>
      <w:r>
        <w:rPr>
          <w:rFonts w:ascii="Times New Roman" w:hAnsi="Times New Roman"/>
          <w:sz w:val="24"/>
        </w:rPr>
        <w:t>The opposition between these two cases is not quantitative — more influence versus less — but qualitative: two structurally different responses to the same philosophical programme, conditioned by the strength of the constitutive/regulative filter. Three structural variables—identified in §4.6 for Ritter and §5.6 for Ørsted—correlate with this difference: the strength of pre-existing philosophical commitments (strong in Ørsted, weak in Ritter), the degree to which engagement with the philosophical source is direct (mediated through Ritter’s practice in Ørsted’s case, more direct in Ritter’s own) and which rival framework is available to fulfill same functional roles developed by an earlier philosopher (Kant’s Anfangsgründe for Ørsted, absent for Ritter).</w:t>
      </w:r>
    </w:p>
    <w:p w14:paraId="201B3C77" w14:textId="77777777" w:rsidR="005C2B2A" w:rsidRPr="005C2B2A" w:rsidRDefault="005C2B2A" w:rsidP="005C2B2A">
      <w:pPr>
        <w:spacing w:line="480" w:lineRule="auto"/>
      </w:pPr>
    </w:p>
    <w:p w14:paraId="4FEB615E" w14:textId="77777777" w:rsidR="005C2B2A" w:rsidRPr="005C2B2A" w:rsidRDefault="005C2B2A" w:rsidP="005C2B2A">
      <w:pPr>
        <w:spacing w:line="480" w:lineRule="auto"/>
      </w:pPr>
      <w:r>
        <w:rPr>
          <w:rFonts w:ascii="Times New Roman" w:hAnsi="Times New Roman"/>
          <w:sz w:val="24"/>
        </w:rPr>
        <w:t xml:space="preserve">The filter functioned at the level of practice, not just declared loyalty. In Ritter’s case, its absence allowed the Schellingian </w:t>
      </w:r>
      <w:r>
        <w:rPr>
          <w:rFonts w:ascii="Times New Roman" w:hAnsi="Times New Roman"/>
          <w:sz w:val="24"/>
          <w:i/>
          <w:iCs/>
        </w:rPr>
        <w:t>Darstellung</w:t>
      </w:r>
      <w:r>
        <w:rPr>
          <w:rFonts w:ascii="Times New Roman" w:hAnsi="Times New Roman"/>
          <w:sz w:val="24"/>
        </w:rPr>
        <w:t xml:space="preserve"> concept to enter directly into experimental practice: galvanic experiments served as sites where nature’s productive polarity could display itself, and the experimenter’s role was to set conditions for this self-exhibition rather than impose rational structure from outside. Polarity operated not as a search-term but as an ontological commitment. In Ørsted’s case, the Kantian filter operated a systematic substitution: the </w:t>
      </w:r>
      <w:r>
        <w:rPr>
          <w:rFonts w:ascii="Times New Roman" w:hAnsi="Times New Roman"/>
          <w:sz w:val="24"/>
          <w:i/>
          <w:iCs/>
        </w:rPr>
        <w:t>Darstellung</w:t>
      </w:r>
      <w:r>
        <w:rPr>
          <w:rFonts w:ascii="Times New Roman" w:hAnsi="Times New Roman"/>
          <w:sz w:val="24"/>
        </w:rPr>
        <w:t xml:space="preserve"> concept was replaced by the </w:t>
      </w:r>
      <w:r>
        <w:rPr>
          <w:rFonts w:ascii="Times New Roman" w:hAnsi="Times New Roman"/>
          <w:sz w:val="24"/>
          <w:i/>
          <w:iCs/>
        </w:rPr>
        <w:t>Gedankenexperiment</w:t>
      </w:r>
      <w:r>
        <w:rPr>
          <w:rFonts w:ascii="Times New Roman" w:hAnsi="Times New Roman"/>
          <w:sz w:val="24"/>
        </w:rPr>
        <w:t>, in which reason pre-structures what nature can be asked. Polarity served as a law-like regularity guiding the hunt for force-connections, yet Ørsted repeatedly denied any constitutive assertion that natural forces were polar oppositions in Schellingian terms. The same programmatic content—the search for the electricity–magnetism relation—thus ran under two incompatible epistemological paradigms: one where experiment receives what nature offers, one where experiment forces nature to respond to questions reason has already framed. This discrepancy at the level of experimental epistemology is what the filter describes most precisely.</w:t>
      </w:r>
    </w:p>
    <w:p w14:paraId="14033F93" w14:textId="77777777" w:rsidR="005C2B2A" w:rsidRPr="005C2B2A" w:rsidRDefault="005C2B2A" w:rsidP="005C2B2A">
      <w:pPr>
        <w:spacing w:line="480" w:lineRule="auto"/>
      </w:pPr>
    </w:p>
    <w:p w14:paraId="5BAA9782" w14:textId="77777777" w:rsidR="005C2B2A" w:rsidRPr="005C2B2A" w:rsidRDefault="005C2B2A" w:rsidP="005C2B2A">
      <w:pPr>
        <w:pStyle w:val="2"/>
        <w:spacing w:line="480" w:lineRule="auto"/>
      </w:pPr>
      <w:r>
        <w:rPr>
          <w:rFonts w:ascii="Times New Roman" w:hAnsi="Times New Roman"/>
          <w:b/>
          <w:sz w:val="24"/>
        </w:rPr>
        <w:t>§6.2 What the pattern shows</w:t>
      </w:r>
    </w:p>
    <w:p w14:paraId="3A833D67" w14:textId="77777777" w:rsidR="005C2B2A" w:rsidRPr="005C2B2A" w:rsidRDefault="005C2B2A" w:rsidP="005C2B2A">
      <w:pPr>
        <w:spacing w:line="480" w:lineRule="auto"/>
      </w:pPr>
    </w:p>
    <w:p w14:paraId="57D776D4" w14:textId="77777777" w:rsidR="005C2B2A" w:rsidRPr="005C2B2A" w:rsidRDefault="005C2B2A" w:rsidP="005C2B2A">
      <w:pPr>
        <w:spacing w:line="480" w:lineRule="auto"/>
      </w:pPr>
      <w:r>
        <w:rPr>
          <w:rFonts w:ascii="Times New Roman" w:hAnsi="Times New Roman"/>
          <w:sz w:val="24"/>
        </w:rPr>
        <w:t>The constitutive/regulative tension acted as a variable filter: where weak, reception reached the epistemological-methodological level; where strong, it was confined to the heuristic-programmatic level. This pattern is intelligible rather than accidental. The filter was inherently unstable—Di Giovanni (1979, pp. 197–215) demonstrated that the distinction was itself a site of crisis within Kant’s system—which accounts for level-selective rather than all-or-nothing reception: an unsteady distinction allows nuanced selectivity because the exact boundary is philosophically contestable. Programmatic content—research directions, target domains—can be decoupled from its metaphysical ground and redeployed within an alternative epistemological framework, whereas inquiry-conception content resists such decoupling because it presupposes the commitments the filter excludes.</w:t>
      </w:r>
    </w:p>
    <w:p w14:paraId="7FF677C2" w14:textId="77777777" w:rsidR="005C2B2A" w:rsidRPr="005C2B2A" w:rsidRDefault="005C2B2A" w:rsidP="005C2B2A">
      <w:pPr>
        <w:spacing w:line="480" w:lineRule="auto"/>
      </w:pPr>
    </w:p>
    <w:p w14:paraId="2D5D3807" w14:textId="77777777" w:rsidR="005C2B2A" w:rsidRPr="005C2B2A" w:rsidRDefault="005C2B2A" w:rsidP="005C2B2A">
      <w:pPr>
        <w:spacing w:line="480" w:lineRule="auto"/>
      </w:pPr>
      <w:r>
        <w:rPr>
          <w:rFonts w:ascii="Times New Roman" w:hAnsi="Times New Roman"/>
          <w:sz w:val="24"/>
        </w:rPr>
        <w:t xml:space="preserve">Under this analysis, the Stauffer-Williams v. Shanahan-Wilson stand-off gets resolved. They record different levels of the same phenomenon: Stauffer-Williams holds at the level of programme — </w:t>
      </w:r>
      <w:r>
        <w:rPr>
          <w:rFonts w:ascii="Times New Roman" w:hAnsi="Times New Roman"/>
          <w:sz w:val="24"/>
          <w:i/>
        </w:rPr>
        <w:t>Naturphilosophie</w:t>
      </w:r>
      <w:r>
        <w:rPr>
          <w:rFonts w:ascii="Times New Roman" w:hAnsi="Times New Roman"/>
          <w:sz w:val="24"/>
        </w:rPr>
        <w:t xml:space="preserve"> did lead to force-connections, and its fruit were just those electromagnetic discoveries. Shanahan–Wilson proves that Ørsted’s epistemological discipline — the Grundgesetze of Ørsted's experimental practice is Kantian in structure and the Anfangsgründe gave him the decisive philosophical tools. Neither was wrong; both were partial. The apparent contradiction dissolves once "influence" is recognised not as a single undifferentiated relation but as a layered phenomenon: each side of the debate accurately records a different level of reception, and the constitutive/regulative filter explains why precisely those levels, and not others, were operative in each case.</w:t>
      </w:r>
      <w:r>
        <w:rPr>
          <w:rFonts w:ascii="Times New Roman" w:hAnsi="Times New Roman"/>
          <w:sz w:val="24"/>
          <w:i/>
          <w:iCs/>
        </w:rPr>
      </w:r>
      <w:r>
        <w:rPr>
          <w:rFonts w:ascii="Times New Roman" w:hAnsi="Times New Roman"/>
          <w:sz w:val="24"/>
        </w:rPr>
      </w:r>
    </w:p>
    <w:p>
      <w:pPr>
        <w:spacing w:line="480" w:lineRule="auto"/>
      </w:pPr>
      <w:r>
        <w:t xml:space="preserve">A further asymmetry deserves notice. The regulative case (Ørsted) proved analytically sharper than the constitutive case (Ritter): Gardner’s four-point diagnostic, the </w:t>
      </w:r>
      <w:r>
        <w:rPr>
          <w:i/>
        </w:rPr>
        <w:t>Darstellung</w:t>
      </w:r>
      <w:r>
        <w:t>→</w:t>
      </w:r>
      <w:r>
        <w:rPr>
          <w:i/>
        </w:rPr>
        <w:t>Gedankenexperiment</w:t>
      </w:r>
      <w:r>
        <w:t xml:space="preserve"> substitution, and the consistent pattern of programmatic acceptance coupled with epistemological refusal all provided identifiable friction against which the filter’s operation could be traced. The constitutive case, by contrast, left fewer independently legible traces precisely because the filter was absent — deep uptake produces integration, not friction. This asymmetry is not a deficiency in the evidence but a structural consequence of the distinction itself: an active filter generates visible selectivity; its absence generates seamless absorption that is harder to diagnose. Future reception studies should expect the regulative case to be the stronger evidential site.</w:t>
      </w:r>
    </w:p>
    <w:p w14:paraId="6C3B2368" w14:textId="77777777" w:rsidR="005C2B2A" w:rsidRPr="005C2B2A" w:rsidRDefault="005C2B2A" w:rsidP="005C2B2A">
      <w:pPr>
        <w:spacing w:line="480" w:lineRule="auto"/>
      </w:pPr>
    </w:p>
    <w:p w14:paraId="33CA35D5" w14:textId="77777777" w:rsidR="005C2B2A" w:rsidRPr="005C2B2A" w:rsidRDefault="005C2B2A" w:rsidP="005C2B2A">
      <w:pPr>
        <w:pStyle w:val="2"/>
        <w:spacing w:line="480" w:lineRule="auto"/>
      </w:pPr>
      <w:r>
        <w:rPr>
          <w:rFonts w:ascii="Times New Roman" w:hAnsi="Times New Roman"/>
          <w:b/>
          <w:sz w:val="24"/>
        </w:rPr>
        <w:t>§6.3 Contribution and limits</w:t>
      </w:r>
    </w:p>
    <w:p w14:paraId="6F7FF954" w14:textId="77777777" w:rsidR="005C2B2A" w:rsidRPr="005C2B2A" w:rsidRDefault="005C2B2A" w:rsidP="005C2B2A">
      <w:pPr>
        <w:spacing w:line="480" w:lineRule="auto"/>
      </w:pPr>
    </w:p>
    <w:p w14:paraId="1B8CFA43" w14:textId="77777777" w:rsidR="005C2B2A" w:rsidRPr="005C2B2A" w:rsidRDefault="005C2B2A" w:rsidP="005C2B2A">
      <w:pPr>
        <w:spacing w:line="480" w:lineRule="auto"/>
      </w:pPr>
      <w:r>
        <w:rPr>
          <w:rFonts w:ascii="Times New Roman" w:hAnsi="Times New Roman"/>
          <w:sz w:val="24"/>
        </w:rPr>
        <w:t xml:space="preserve">The dissertation contributes three things. First, it dissolves the historiographic impasse by disaggregation: the Stauffer–Williams versus Shanahan–Wilson binary is reconfigured as mapping different levels of a single phenomenon, with the constitutive/regulative tension as its philosophical ground. Second, it offers a transferable analytical structure: the move from programme-reconstruction through differential reception to level-specific attribution applies wherever philosophical engagement with scientific practice occurs across leaky disciplinary boundaries. This transferability speaks to a broader question in HPS: whether philosophy functions as constitutive of scientific practice or merely as contextual atmosphere. The dissertation’s finding complicates both positions. Philosophy was neither uniformly constitutive (pace the strong reading of Friedman’s developmental thesis) nor uniformly irrelevant: it was constitutive at one level and regulative at another, within the same reception event, depending on the receiving context’s prior philosophical commitments. The unit of analysis for philosophy-science relations is therefore not “influence” but the level-specific structure of uptake. Third, it historicises the “influence” question: following Breidbach (2004, pp. 153–157), the finding that “influence” presupposes a disciplinary boundary that did not exist in 1797–1820 is not a methodological caveat but a substantive historical finding about the conditions under which </w:t>
      </w:r>
      <w:r>
        <w:rPr>
          <w:rFonts w:ascii="Times New Roman" w:hAnsi="Times New Roman"/>
          <w:sz w:val="24"/>
          <w:i/>
        </w:rPr>
        <w:t>Naturwissenschaft</w:t>
      </w:r>
      <w:r>
        <w:rPr>
          <w:rFonts w:ascii="Times New Roman" w:hAnsi="Times New Roman"/>
          <w:sz w:val="24"/>
        </w:rPr>
        <w:t xml:space="preserve"> arose from </w:t>
      </w:r>
      <w:r>
        <w:rPr>
          <w:rFonts w:ascii="Times New Roman" w:hAnsi="Times New Roman"/>
          <w:sz w:val="24"/>
          <w:i/>
        </w:rPr>
        <w:t>Naturgeschichte</w:t>
      </w:r>
      <w:r>
        <w:rPr>
          <w:rFonts w:ascii="Times New Roman" w:hAnsi="Times New Roman"/>
          <w:sz w:val="24"/>
        </w:rPr>
        <w:t>.</w:t>
      </w:r>
    </w:p>
    <w:p w14:paraId="0A69A1CD" w14:textId="77777777" w:rsidR="005C2B2A" w:rsidRPr="005C2B2A" w:rsidRDefault="005C2B2A" w:rsidP="005C2B2A">
      <w:pPr>
        <w:spacing w:line="480" w:lineRule="auto"/>
      </w:pPr>
    </w:p>
    <w:p w14:paraId="3237FC73" w14:textId="1170F790" w:rsidR="00F958C3" w:rsidRDefault="005C2B2A" w:rsidP="005C2B2A">
      <w:pPr>
        <w:spacing w:line="480" w:lineRule="auto"/>
      </w:pPr>
      <w:r>
        <w:rPr>
          <w:rFonts w:ascii="Times New Roman" w:hAnsi="Times New Roman"/>
          <w:sz w:val="24"/>
        </w:rPr>
        <w:t xml:space="preserve">The claim is limited: two cases, one milieu, one philosophical root. Two cases cannot ground a generalisation, but the structure is transferable: any context where a philosophical programme crosses into scientific practice through actors with differing prior commitments should exhibit analogous level-selectivity. Davy’s electrochemistry, mediated through Coleridge’s Schellingian enthusiasms but filtered by Davy’s own empiricist formation, offers one such test case; Ørsted’s later dynamical work another. A comparable analytical move has proved productive elsewhere in HPS: Caneva's (1997) study of the reception of </w:t>
      </w:r>
      <w:r>
        <w:rPr>
          <w:rFonts w:ascii="Times New Roman" w:hAnsi="Times New Roman"/>
          <w:sz w:val="24"/>
          <w:i/>
        </w:rPr>
        <w:t>Naturphilosophie</w:t>
      </w:r>
      <w:r>
        <w:rPr>
          <w:rFonts w:ascii="Times New Roman" w:hAnsi="Times New Roman"/>
          <w:sz w:val="24"/>
        </w:rPr>
        <w:t xml:space="preserve"> by Helmholtz demonstrates that level-differentiated analysis can dissolve apparent contradictions in influence-attribution across different institutional contexts. The positive historiographic lesson is that replacing the binary question with a structured one—at what level, through what channel, under what prior philosophical formation—yields tractable answers where undifferentiated 'influence' claims generate only impasse. What the dissertation has demonstrated is that the binary question “Did philosophy influence science?” will keep generating irresolvable debates unless replaced with a question about the level, channel, and structure through which philosophical content surfaces in scientific practice. Schelling’s Naturphilosophie was not a single variable that either influenced or did not; it was a programme deconstructed by reception into components that found differing trajectories, at differing depths, through differing minds. The filter was not an ex post facto analytical imposition but a philosophical reality operative in the period—and its recovery as explanatory mechanism is a historico-factual finding about how philosophical commitments structured the conditions of scientific practice.</w:t>
      </w:r>
      <w:r>
        <w:rPr>
          <w:rFonts w:ascii="Times New Roman" w:hAnsi="Times New Roman"/>
          <w:sz w:val="24"/>
          <w:i/>
          <w:iCs/>
        </w:rPr>
      </w:r>
      <w:r>
        <w:rPr>
          <w:rFonts w:ascii="Times New Roman" w:hAnsi="Times New Roman"/>
          <w:sz w:val="24"/>
        </w:rPr>
      </w:r>
    </w:p>
    <w:p>
      <w:pPr>
        <w:spacing w:line="480" w:lineRule="auto"/>
      </w:pPr>
      <w:r>
        <w:br w:type="page"/>
      </w:r>
    </w:p>
    <w:p>
      <w:pPr>
        <w:spacing w:before="480" w:after="240" w:line="480" w:lineRule="auto"/>
      </w:pPr>
      <w:r>
        <w:rPr>
          <w:rFonts w:ascii="Times New Roman" w:hAnsi="Times New Roman"/>
          <w:b/>
          <w:sz w:val="24"/>
        </w:rPr>
        <w:t>Bibliography</w:t>
      </w:r>
    </w:p>
    <w:p>
      <w:pPr>
        <w:spacing w:after="120" w:line="480" w:lineRule="auto"/>
        <w:ind w:left="720" w:hanging="720"/>
      </w:pPr>
      <w:r>
        <w:rPr>
          <w:rFonts w:ascii="Times New Roman" w:hAnsi="Times New Roman"/>
          <w:sz w:val="24"/>
        </w:rPr>
        <w:t>Authier, Raphaël. ‘Schelling’s Philosophy of Science’. Perspectives on Science 33, no. 4 (2025): 492–518.</w:t>
      </w:r>
    </w:p>
    <w:p>
      <w:pPr>
        <w:spacing w:after="120" w:line="480" w:lineRule="auto"/>
        <w:ind w:left="720" w:hanging="720"/>
      </w:pPr>
      <w:r>
        <w:rPr>
          <w:rFonts w:ascii="Times New Roman" w:hAnsi="Times New Roman"/>
          <w:sz w:val="24"/>
        </w:rPr>
        <w:t>Beetz, Wilhelm von. ‘Gedächtnissrede auf Georg Simon Ohm’. Abhandlungen der Königlich Bayerischen Akademie der Wissenschaften 10 (1873): 1–20.</w:t>
      </w:r>
    </w:p>
    <w:p>
      <w:pPr>
        <w:spacing w:after="120" w:line="480" w:lineRule="auto"/>
        <w:ind w:left="720" w:hanging="720"/>
      </w:pPr>
      <w:r>
        <w:rPr>
          <w:rFonts w:ascii="Times New Roman" w:hAnsi="Times New Roman"/>
          <w:sz w:val="24"/>
        </w:rPr>
        <w:t>Berger, Benjamin. Schelling, Hegel, and the Philosophy of Nature: From Matter to Spirit. London: Routledge, 2024.</w:t>
      </w:r>
    </w:p>
    <w:p>
      <w:pPr>
        <w:spacing w:after="120" w:line="480" w:lineRule="auto"/>
        <w:ind w:left="720" w:hanging="720"/>
      </w:pPr>
      <w:r>
        <w:rPr>
          <w:rFonts w:ascii="Times New Roman" w:hAnsi="Times New Roman"/>
          <w:sz w:val="24"/>
        </w:rPr>
        <w:t>Breidbach, Olaf. ‘Schelling und die Erfahrungswissenschaften’. Sudhoffs Archiv 88, no. 2 (2004): 153–174.</w:t>
      </w:r>
    </w:p>
    <w:p>
      <w:pPr>
        <w:spacing w:after="120" w:line="480" w:lineRule="auto"/>
        <w:ind w:left="720" w:hanging="720"/>
      </w:pPr>
      <w:r>
        <w:rPr>
          <w:rFonts w:ascii="Times New Roman" w:hAnsi="Times New Roman"/>
          <w:sz w:val="24"/>
        </w:rPr>
        <w:t xml:space="preserve">Caneva, Kenneth L. ‘Physics and </w:t>
      </w:r>
      <w:r>
        <w:rPr>
          <w:rFonts w:ascii="Times New Roman" w:hAnsi="Times New Roman"/>
          <w:sz w:val="24"/>
          <w:i/>
          <w:iCs/>
        </w:rPr>
        <w:t>Naturphilosophie</w:t>
      </w:r>
      <w:r>
        <w:rPr>
          <w:rFonts w:ascii="Times New Roman" w:hAnsi="Times New Roman"/>
          <w:sz w:val="24"/>
        </w:rPr>
        <w:t>: A Reconnaissance’. History of Science 35 (1997): 35–106.</w:t>
      </w:r>
    </w:p>
    <w:p>
      <w:pPr>
        <w:spacing w:after="120" w:line="480" w:lineRule="auto"/>
        <w:ind w:left="720" w:hanging="720"/>
      </w:pPr>
      <w:r>
        <w:rPr>
          <w:rFonts w:ascii="Times New Roman" w:hAnsi="Times New Roman"/>
          <w:sz w:val="24"/>
        </w:rPr>
        <w:t>Christensen, Dan Ch. ‘The Ørsted–Ritter Partnership and the Birth of Romantic Natural Philosophy’. Annals of Science 52, no. 2 (1995): 153–185.</w:t>
      </w:r>
    </w:p>
    <w:p>
      <w:pPr>
        <w:spacing w:after="120" w:line="480" w:lineRule="auto"/>
        <w:ind w:left="720" w:hanging="720"/>
      </w:pPr>
      <w:r>
        <w:rPr>
          <w:rFonts w:ascii="Times New Roman" w:hAnsi="Times New Roman"/>
          <w:sz w:val="24"/>
        </w:rPr>
        <w:t>Christensen, Dan Ch. Hans Christian Ørsted: Reading Nature’s Mind. Oxford: Oxford University Press, 2013.</w:t>
      </w:r>
    </w:p>
    <w:p>
      <w:pPr>
        <w:spacing w:after="120" w:line="480" w:lineRule="auto"/>
        <w:ind w:left="720" w:hanging="720"/>
      </w:pPr>
      <w:r>
        <w:rPr>
          <w:rFonts w:ascii="Times New Roman" w:hAnsi="Times New Roman"/>
          <w:sz w:val="24"/>
        </w:rPr>
        <w:t>Di Giovanni, George. ‘Kant’s Metaphysics of Nature and Schelling’s Ideas for a Philosophy of Nature’. Journal of the History of Philosophy 17, no. 2 (April 1979): 197–215.</w:t>
      </w:r>
    </w:p>
    <w:p>
      <w:pPr>
        <w:spacing w:after="120" w:line="480" w:lineRule="auto"/>
        <w:ind w:left="720" w:hanging="720"/>
      </w:pPr>
      <w:r>
        <w:rPr>
          <w:rFonts w:ascii="Times New Roman" w:hAnsi="Times New Roman"/>
          <w:sz w:val="24"/>
        </w:rPr>
        <w:t>Engelhardt, Dietrich von. ‘Historical Consciousness in the German Romantic Naturforschung’. Translated by Christine Salazar. In Romanticism and the Sciences, edited by Andrew Cunningham and Nicholas Jardine, 55–68. Cambridge: Cambridge University Press, 1990.</w:t>
      </w:r>
    </w:p>
    <w:p>
      <w:pPr>
        <w:spacing w:after="120" w:line="480" w:lineRule="auto"/>
        <w:ind w:left="720" w:hanging="720"/>
      </w:pPr>
      <w:r>
        <w:rPr>
          <w:rFonts w:ascii="Times New Roman" w:hAnsi="Times New Roman"/>
          <w:sz w:val="24"/>
        </w:rPr>
        <w:t>Frercks, Jan, Heiko Weber, and Gerhard Wiesenfeldt. ‘Reception and Discovery: The Nature of Johann Wilhelm Ritter’s Invisible Rays’. Studies in History and Philosophy of Science Part A 40, no. 2 (2009): 143–156.</w:t>
      </w:r>
    </w:p>
    <w:p>
      <w:pPr>
        <w:spacing w:after="120" w:line="480" w:lineRule="auto"/>
        <w:ind w:left="720" w:hanging="720"/>
      </w:pPr>
      <w:r>
        <w:rPr>
          <w:rFonts w:ascii="Times New Roman" w:hAnsi="Times New Roman"/>
          <w:sz w:val="24"/>
        </w:rPr>
        <w:t xml:space="preserve">Förster, Eckart. Kant’s Final Synthesis: An Essay on the Opus postumum. Cambridge, MA: Harvard University Press, 2000.</w:t>
      </w:r>
    </w:p>
    <w:p>
      <w:pPr>
        <w:spacing w:after="120" w:line="480" w:lineRule="auto"/>
        <w:ind w:left="720" w:hanging="720"/>
      </w:pPr>
      <w:r>
        <w:t xml:space="preserve">Friedman, Michael. Kant and the Exact Sciences. Cambridge, MA: Harvard University Press, 1992.</w:t>
      </w:r>
    </w:p>
    <w:p>
      <w:pPr>
        <w:spacing w:after="120" w:line="480" w:lineRule="auto"/>
        <w:ind w:left="720" w:hanging="720"/>
      </w:pPr>
      <w:r>
        <w:rPr>
          <w:rFonts w:ascii="Times New Roman" w:hAnsi="Times New Roman"/>
          <w:sz w:val="24"/>
        </w:rPr>
        <w:t>Friedman, Michael. ‘Kant—</w:t>
      </w:r>
      <w:r>
        <w:rPr>
          <w:rFonts w:ascii="Times New Roman" w:hAnsi="Times New Roman"/>
          <w:sz w:val="24"/>
          <w:i/>
          <w:iCs/>
        </w:rPr>
        <w:t>Naturphilosophie</w:t>
      </w:r>
      <w:r>
        <w:rPr>
          <w:rFonts w:ascii="Times New Roman" w:hAnsi="Times New Roman"/>
          <w:sz w:val="24"/>
        </w:rPr>
        <w:t>—Electromagnetism’. In The Kantian Legacy in Nineteenth-Century Science, edited by Michael Friedman and Alfred Nordmann, 51–79. Cambridge, MA: MIT Press, 2006.</w:t>
      </w:r>
    </w:p>
    <w:p>
      <w:pPr>
        <w:spacing w:after="120" w:line="480" w:lineRule="auto"/>
        <w:ind w:left="720" w:hanging="720"/>
      </w:pPr>
      <w:r>
        <w:rPr>
          <w:rFonts w:ascii="Times New Roman" w:hAnsi="Times New Roman"/>
          <w:sz w:val="24"/>
        </w:rPr>
        <w:t>Gardner, Sebastian. ‘Schelling’s Substantive Reinterpretation of the Transcendental Turn: Beyond Method’. British Journal for the History of Philosophy 27, no. 2 (2019): 271–292.</w:t>
      </w:r>
    </w:p>
    <w:p>
      <w:pPr>
        <w:spacing w:after="120" w:line="480" w:lineRule="auto"/>
        <w:ind w:left="720" w:hanging="720"/>
      </w:pPr>
      <w:r>
        <w:rPr>
          <w:rFonts w:ascii="Times New Roman" w:hAnsi="Times New Roman"/>
          <w:sz w:val="24"/>
        </w:rPr>
        <w:t>Grant, Iain Hamilton. Philosophies of Nature after Schelling. London: Continuum, 2008.</w:t>
      </w:r>
    </w:p>
    <w:p>
      <w:pPr>
        <w:spacing w:after="120" w:line="480" w:lineRule="auto"/>
        <w:ind w:left="720" w:hanging="720"/>
      </w:pPr>
      <w:r>
        <w:rPr>
          <w:rFonts w:ascii="Times New Roman" w:hAnsi="Times New Roman"/>
          <w:sz w:val="24"/>
        </w:rPr>
        <w:t>Harding, M.C. (ed.). Correspondance de H.C. Ørsted avec divers savants. 2 vols. Copenhagen: H. Aschehoug, 1920.</w:t>
      </w:r>
    </w:p>
    <w:p>
      <w:pPr>
        <w:spacing w:after="120" w:line="480" w:lineRule="auto"/>
        <w:ind w:left="720" w:hanging="720"/>
      </w:pPr>
      <w:r>
        <w:rPr>
          <w:rFonts w:ascii="Times New Roman" w:hAnsi="Times New Roman"/>
          <w:sz w:val="24"/>
        </w:rPr>
        <w:t>Hauch, Adam Wilhelm. H.C. Ørsteds Levnedsbeskrivelse. Copenhagen, 1853.</w:t>
      </w:r>
    </w:p>
    <w:p>
      <w:pPr>
        <w:spacing w:after="120" w:line="480" w:lineRule="auto"/>
        <w:ind w:left="720" w:hanging="720"/>
      </w:pPr>
      <w:r>
        <w:rPr>
          <w:rFonts w:ascii="Times New Roman" w:hAnsi="Times New Roman"/>
          <w:sz w:val="24"/>
        </w:rPr>
        <w:t>Holland, Jocelyn (ed. and trans.). Key Texts of Johann Wilhelm Ritter (1776–1810) on the Science and Art of Nature. Leiden: Brill, 2010.</w:t>
      </w:r>
    </w:p>
    <w:p>
      <w:pPr>
        <w:spacing w:after="120" w:line="480" w:lineRule="auto"/>
        <w:ind w:left="720" w:hanging="720"/>
      </w:pPr>
      <w:r>
        <w:rPr>
          <w:rFonts w:ascii="Times New Roman" w:hAnsi="Times New Roman"/>
          <w:sz w:val="24"/>
        </w:rPr>
        <w:t xml:space="preserve">Janiak, Andrew. Newton as Philosopher. Cambridge: Cambridge University Press, 2008.</w:t>
      </w:r>
    </w:p>
    <w:p>
      <w:pPr>
        <w:spacing w:after="120" w:line="480" w:lineRule="auto"/>
        <w:ind w:left="720" w:hanging="720"/>
      </w:pPr>
      <w:r>
        <w:rPr>
          <w:rFonts w:ascii="Times New Roman" w:hAnsi="Times New Roman"/>
          <w:sz w:val="24"/>
        </w:rPr>
        <w:t>Koselleck, Reinhart. Futures Past: On the Semantics of Historical Time. Translated by Keith Tribe. New York: Columbia University Press, 2004. Originally published as Vergangene Zukunft: Zur Semantik geschichtlicher Zeiten. Frankfurt am Main: Suhrkamp, 1979.</w:t>
      </w:r>
    </w:p>
    <w:p>
      <w:pPr>
        <w:spacing w:after="120" w:line="480" w:lineRule="auto"/>
        <w:ind w:left="720" w:hanging="720"/>
      </w:pPr>
      <w:r>
        <w:rPr>
          <w:rFonts w:ascii="Times New Roman" w:hAnsi="Times New Roman"/>
          <w:sz w:val="24"/>
        </w:rPr>
        <w:t>Lakatos, Imre. ‘Falsification and the Methodology of Scientific Research Programmes’. In Criticism and the Growth of Knowledge, edited by Imre Lakatos and Alan Musgrave, 91–196. Cambridge: Cambridge University Press, 1970.</w:t>
      </w:r>
    </w:p>
    <w:p>
      <w:pPr>
        <w:spacing w:after="120" w:line="480" w:lineRule="auto"/>
        <w:ind w:left="720" w:hanging="720"/>
      </w:pPr>
      <w:r>
        <w:rPr>
          <w:rFonts w:ascii="Times New Roman" w:hAnsi="Times New Roman"/>
          <w:sz w:val="24"/>
        </w:rPr>
        <w:t>Martins, Roberto de Andrade. ‘Ørsted, Ritter, and Magnetochemistry’. In Hans Christian Ørsted and the Romantic Legacy in Science: Ideas, Disciplines, Practices, edited by Robert M. Brain, Robert S. Cohen, and Ole Knudsen, 339–385. Boston Studies in the Philosophy of Science 241. Dordrecht: Springer, 2007.</w:t>
      </w:r>
    </w:p>
    <w:p>
      <w:pPr>
        <w:spacing w:after="120" w:line="480" w:lineRule="auto"/>
        <w:ind w:left="720" w:hanging="720"/>
      </w:pPr>
      <w:r>
        <w:rPr>
          <w:rFonts w:ascii="Times New Roman" w:hAnsi="Times New Roman"/>
          <w:sz w:val="24"/>
        </w:rPr>
        <w:t>Ørsted, Hans Christian. Selected Scientific Works of Hans Christian Ørsted. Translated and edited by Karen Jelved, Andrew D. Jackson, and Ole Knudsen. With an introduction by Andrew D. Wilson. Princeton, NJ: Princeton University Press, 1998.</w:t>
      </w:r>
    </w:p>
    <w:p>
      <w:pPr>
        <w:spacing w:after="120" w:line="480" w:lineRule="auto"/>
        <w:ind w:left="720" w:hanging="720"/>
      </w:pPr>
      <w:r>
        <w:rPr>
          <w:rFonts w:ascii="Times New Roman" w:hAnsi="Times New Roman"/>
          <w:sz w:val="24"/>
        </w:rPr>
        <w:t>Ritter, Johann Wilhelm. Beyträge zur nähern Kenntniss des Galvanismus und der Resultate seiner Untersuchung. 2 vols. Jena: Frommann, 1800–1805.</w:t>
      </w:r>
    </w:p>
    <w:p>
      <w:pPr>
        <w:spacing w:after="120" w:line="480" w:lineRule="auto"/>
        <w:ind w:left="720" w:hanging="720"/>
      </w:pPr>
      <w:r>
        <w:rPr>
          <w:rFonts w:ascii="Times New Roman" w:hAnsi="Times New Roman"/>
          <w:sz w:val="24"/>
        </w:rPr>
        <w:t>Ritter, Johann Wilhelm. Die Physik als Kunst: Ein Versuch, die Tendenz der Physik aus ihrer Geschichte zu deuten. Munich: Bayerische Akademie der Wissenschaften, 1806.</w:t>
      </w:r>
    </w:p>
    <w:p>
      <w:pPr>
        <w:spacing w:after="120" w:line="480" w:lineRule="auto"/>
        <w:ind w:left="720" w:hanging="720"/>
      </w:pPr>
      <w:r>
        <w:rPr>
          <w:rFonts w:ascii="Times New Roman" w:hAnsi="Times New Roman"/>
          <w:sz w:val="24"/>
        </w:rPr>
        <w:t>Ritter, Johann Wilhelm. Fragmente aus dem Nachlasse eines jungen Physikers: Ein Taschenbuch für Freunde der Natur. 2 vols. Heidelberg: Mohr und Zimmer, 1810.</w:t>
      </w:r>
    </w:p>
    <w:p>
      <w:pPr>
        <w:spacing w:after="120" w:line="480" w:lineRule="auto"/>
        <w:ind w:left="720" w:hanging="720"/>
      </w:pPr>
      <w:r>
        <w:rPr>
          <w:rFonts w:ascii="Times New Roman" w:hAnsi="Times New Roman"/>
          <w:sz w:val="24"/>
        </w:rPr>
        <w:t>Schelling, Friedrich Wilhelm Joseph. Von der Weltseele: Eine Hypothese der höhern Physik zur Erklärung des allgemeinen Organismus. Hamburg: Perthes, 1798.</w:t>
      </w:r>
    </w:p>
    <w:p>
      <w:pPr>
        <w:spacing w:after="120" w:line="480" w:lineRule="auto"/>
        <w:ind w:left="720" w:hanging="720"/>
      </w:pPr>
      <w:r>
        <w:rPr>
          <w:rFonts w:ascii="Times New Roman" w:hAnsi="Times New Roman"/>
          <w:sz w:val="24"/>
        </w:rPr>
        <w:t xml:space="preserve">Schelling, Friedrich Wilhelm Joseph. </w:t>
      </w:r>
      <w:r>
        <w:rPr>
          <w:rFonts w:ascii="Times New Roman" w:hAnsi="Times New Roman"/>
          <w:sz w:val="24"/>
          <w:i/>
          <w:iCs/>
        </w:rPr>
        <w:t>Einleitung</w:t>
      </w:r>
      <w:r>
        <w:rPr>
          <w:rFonts w:ascii="Times New Roman" w:hAnsi="Times New Roman"/>
          <w:sz w:val="24"/>
        </w:rPr>
        <w:t xml:space="preserve"> zu seinem Entwurf eines Systems der </w:t>
      </w:r>
      <w:r>
        <w:rPr>
          <w:rFonts w:ascii="Times New Roman" w:hAnsi="Times New Roman"/>
          <w:sz w:val="24"/>
          <w:i/>
          <w:iCs/>
        </w:rPr>
        <w:t>Naturphilosophie</w:t>
      </w:r>
      <w:r>
        <w:rPr>
          <w:rFonts w:ascii="Times New Roman" w:hAnsi="Times New Roman"/>
          <w:sz w:val="24"/>
        </w:rPr>
        <w:t>, oder: Ueber den Begriff der speculativen Physik und die innere Organisation eines Systems dieser Wissenschaft. Jena and Leipzig: Gabler, 1799.</w:t>
      </w:r>
    </w:p>
    <w:p>
      <w:pPr>
        <w:spacing w:after="120" w:line="480" w:lineRule="auto"/>
        <w:ind w:left="720" w:hanging="720"/>
      </w:pPr>
      <w:r>
        <w:rPr>
          <w:rFonts w:ascii="Times New Roman" w:hAnsi="Times New Roman"/>
          <w:sz w:val="24"/>
        </w:rPr>
        <w:t xml:space="preserve">Schelling, Friedrich Wilhelm Joseph. Erster Entwurf eines Systems der </w:t>
      </w:r>
      <w:r>
        <w:rPr>
          <w:rFonts w:ascii="Times New Roman" w:hAnsi="Times New Roman"/>
          <w:sz w:val="24"/>
          <w:i/>
          <w:iCs/>
        </w:rPr>
        <w:t>Naturphilosophie</w:t>
      </w:r>
      <w:r>
        <w:rPr>
          <w:rFonts w:ascii="Times New Roman" w:hAnsi="Times New Roman"/>
          <w:sz w:val="24"/>
        </w:rPr>
        <w:t>: Zum Behuf seiner Vorlesungen. Jena and Leipzig: Gabler, 1799 [cited as 1799a].</w:t>
      </w:r>
    </w:p>
    <w:p>
      <w:pPr>
        <w:spacing w:after="120" w:line="480" w:lineRule="auto"/>
        <w:ind w:left="720" w:hanging="720"/>
      </w:pPr>
      <w:r>
        <w:rPr>
          <w:rFonts w:ascii="Times New Roman" w:hAnsi="Times New Roman"/>
          <w:sz w:val="24"/>
        </w:rPr>
        <w:t xml:space="preserve">Schelling, Friedrich Wilhelm Joseph. </w:t>
      </w:r>
      <w:r>
        <w:rPr>
          <w:rFonts w:ascii="Times New Roman" w:hAnsi="Times New Roman"/>
          <w:sz w:val="24"/>
          <w:i/>
          <w:iCs/>
        </w:rPr>
        <w:t>Darstellung</w:t>
      </w:r>
      <w:r>
        <w:rPr>
          <w:rFonts w:ascii="Times New Roman" w:hAnsi="Times New Roman"/>
          <w:sz w:val="24"/>
        </w:rPr>
        <w:t xml:space="preserve"> meines Systems der Philosophie. Zeitschrift für </w:t>
      </w:r>
      <w:r>
        <w:rPr>
          <w:rFonts w:ascii="Times New Roman" w:hAnsi="Times New Roman"/>
          <w:sz w:val="24"/>
          <w:i/>
          <w:iCs/>
        </w:rPr>
        <w:t>spekulative Physik</w:t>
      </w:r>
      <w:r>
        <w:rPr>
          <w:rFonts w:ascii="Times New Roman" w:hAnsi="Times New Roman"/>
          <w:sz w:val="24"/>
        </w:rPr>
        <w:t xml:space="preserve"> 2, no. 2 (1801): 1–127.</w:t>
      </w:r>
    </w:p>
    <w:p>
      <w:pPr>
        <w:spacing w:after="120" w:line="480" w:lineRule="auto"/>
        <w:ind w:left="720" w:hanging="720"/>
      </w:pPr>
      <w:r>
        <w:rPr>
          <w:rFonts w:ascii="Times New Roman" w:hAnsi="Times New Roman"/>
          <w:sz w:val="24"/>
        </w:rPr>
        <w:t xml:space="preserve">Schmid, Jelscha. ‘Schelling’s Method of </w:t>
      </w:r>
      <w:r>
        <w:rPr>
          <w:rFonts w:ascii="Times New Roman" w:hAnsi="Times New Roman"/>
          <w:sz w:val="24"/>
          <w:i/>
          <w:iCs/>
        </w:rPr>
        <w:t>Darstellung</w:t>
      </w:r>
      <w:r>
        <w:rPr>
          <w:rFonts w:ascii="Times New Roman" w:hAnsi="Times New Roman"/>
          <w:sz w:val="24"/>
        </w:rPr>
        <w:t>: Presenting Nature through Experiment’. Studies in History and Philosophy of Science Part A 69 (2018): 12–22.</w:t>
      </w:r>
    </w:p>
    <w:p>
      <w:pPr>
        <w:spacing w:after="120" w:line="480" w:lineRule="auto"/>
        <w:ind w:left="720" w:hanging="720"/>
      </w:pPr>
      <w:r>
        <w:rPr>
          <w:rFonts w:ascii="Times New Roman" w:hAnsi="Times New Roman"/>
          <w:sz w:val="24"/>
        </w:rPr>
        <w:t xml:space="preserve">Shanahan, Timothy. ‘Kant, </w:t>
      </w:r>
      <w:r>
        <w:rPr>
          <w:rFonts w:ascii="Times New Roman" w:hAnsi="Times New Roman"/>
          <w:sz w:val="24"/>
          <w:i/>
          <w:iCs/>
        </w:rPr>
        <w:t>Naturphilosophie</w:t>
      </w:r>
      <w:r>
        <w:rPr>
          <w:rFonts w:ascii="Times New Roman" w:hAnsi="Times New Roman"/>
          <w:sz w:val="24"/>
        </w:rPr>
        <w:t>, and Oersted’s Discovery of Electromagnetism: A Reassessment’. Studies in History and Philosophy of Science Part A 20, no. 2 (1989): 287–305.</w:t>
      </w:r>
    </w:p>
    <w:p>
      <w:pPr>
        <w:spacing w:after="120" w:line="480" w:lineRule="auto"/>
        <w:ind w:left="720" w:hanging="720"/>
      </w:pPr>
      <w:r>
        <w:rPr>
          <w:rFonts w:ascii="Times New Roman" w:hAnsi="Times New Roman"/>
          <w:sz w:val="24"/>
        </w:rPr>
        <w:t xml:space="preserve">Silva, Ana Paula Bispo da. ‘A influência da </w:t>
      </w:r>
      <w:r>
        <w:rPr>
          <w:rFonts w:ascii="Times New Roman" w:hAnsi="Times New Roman"/>
          <w:sz w:val="24"/>
          <w:i/>
          <w:iCs/>
        </w:rPr>
        <w:t>Naturphilosophie</w:t>
      </w:r>
      <w:r>
        <w:rPr>
          <w:rFonts w:ascii="Times New Roman" w:hAnsi="Times New Roman"/>
          <w:sz w:val="24"/>
        </w:rPr>
        <w:t xml:space="preserve"> nas ciências do século XIX: eletromagnetismo e energia’. História, Ciências, Saúde – Manguinhos 24, no. 3 (2017): 687–705.</w:t>
      </w:r>
    </w:p>
    <w:p>
      <w:pPr>
        <w:spacing w:after="120" w:line="480" w:lineRule="auto"/>
        <w:ind w:left="720" w:hanging="720"/>
      </w:pPr>
      <w:r>
        <w:rPr>
          <w:rFonts w:ascii="Times New Roman" w:hAnsi="Times New Roman"/>
          <w:sz w:val="24"/>
        </w:rPr>
        <w:t>Stauffer, Robert C. ‘Speculation and Experiment in the Background of Oersted’s Discovery of Electromagnetism’. Isis 48, no. 1 (1957): 33–50.</w:t>
      </w:r>
    </w:p>
    <w:p>
      <w:pPr>
        <w:spacing w:after="120" w:line="480" w:lineRule="auto"/>
        <w:ind w:left="720" w:hanging="720"/>
      </w:pPr>
      <w:r>
        <w:rPr>
          <w:rFonts w:ascii="Times New Roman" w:hAnsi="Times New Roman"/>
          <w:sz w:val="24"/>
        </w:rPr>
        <w:t>Williams, L. Pearce. Michael Faraday: A Biography. London: Chapman and Hall, 1965.</w:t>
      </w:r>
    </w:p>
    <w:p>
      <w:pPr>
        <w:spacing w:after="120" w:line="480" w:lineRule="auto"/>
        <w:ind w:left="720" w:hanging="720"/>
      </w:pPr>
      <w:r>
        <w:rPr>
          <w:rFonts w:ascii="Times New Roman" w:hAnsi="Times New Roman"/>
          <w:sz w:val="24"/>
        </w:rPr>
        <w:t>Williams, L. Pearce. The Origins of Field Theory. New York: Random House, 1966.</w:t>
      </w:r>
    </w:p>
    <w:p>
      <w:pPr>
        <w:spacing w:after="120" w:line="480" w:lineRule="auto"/>
        <w:ind w:left="720" w:hanging="720"/>
      </w:pPr>
      <w:r>
        <w:rPr>
          <w:rFonts w:ascii="Times New Roman" w:hAnsi="Times New Roman"/>
          <w:sz w:val="24"/>
        </w:rPr>
        <w:t>Wilson, Andrew D. ‘The Way from Nature to God’. In Hans Christian Ørsted and the Romantic Legacy in Science: Ideas, Disciplines, Practices, edited by Robert M. Brain, Robert S. Cohen, and Ole Knudsen, 1–11. Boston Studies in the Philosophy of Science 241. Dordrecht: Springer, 2007.</w:t>
      </w:r>
    </w:p>
    <w:p>
      <w:pPr>
        <w:spacing w:after="120" w:line="480" w:lineRule="auto"/>
        <w:ind w:left="720" w:hanging="720"/>
      </w:pPr>
      <w:r>
        <w:rPr>
          <w:rFonts w:ascii="Times New Roman" w:hAnsi="Times New Roman"/>
          <w:sz w:val="24"/>
        </w:rPr>
        <w:t>Witt-Hansen, Johannes. ‘H.C. Ørsted, Immanuel Kant, and the Thought Experiment’. Danish Yearbook of Philosophy 13 (1976): 48–65.</w:t>
      </w:r>
    </w:p>
    <w:sectPr w:rsidR="00F958C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636AD" w14:textId="77777777" w:rsidR="00D867CC" w:rsidRDefault="00D867CC" w:rsidP="005C2B2A">
      <w:pPr>
        <w:spacing w:after="0" w:line="240" w:lineRule="auto"/>
      </w:pPr>
      <w:r>
        <w:separator/>
      </w:r>
    </w:p>
  </w:endnote>
  <w:endnote w:type="continuationSeparator" w:id="0">
    <w:p w14:paraId="15EF3F25" w14:textId="77777777" w:rsidR="00D867CC" w:rsidRDefault="00D867CC" w:rsidP="005C2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16BB1" w14:textId="77777777" w:rsidR="00D867CC" w:rsidRDefault="00D867CC" w:rsidP="005C2B2A">
      <w:pPr>
        <w:spacing w:after="0" w:line="240" w:lineRule="auto"/>
      </w:pPr>
      <w:r>
        <w:separator/>
      </w:r>
    </w:p>
  </w:footnote>
  <w:footnote w:type="continuationSeparator" w:id="0">
    <w:p w14:paraId="228C8594" w14:textId="77777777" w:rsidR="00D867CC" w:rsidRDefault="00D867CC" w:rsidP="005C2B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33C"/>
    <w:rsid w:val="00497E39"/>
    <w:rsid w:val="005C2B2A"/>
    <w:rsid w:val="00D867CC"/>
    <w:rsid w:val="00DC333C"/>
    <w:rsid w:val="00F46737"/>
    <w:rsid w:val="00F958C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9A70084-AE34-44D6-AA8A-55C2AF8C9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C3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C3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C333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C33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C33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C33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C33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33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C33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333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DC333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DC333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DC333C"/>
    <w:rPr>
      <w:rFonts w:eastAsiaTheme="majorEastAsia" w:cstheme="majorBidi"/>
      <w:i/>
      <w:iCs/>
      <w:color w:val="2F5496" w:themeColor="accent1" w:themeShade="BF"/>
    </w:rPr>
  </w:style>
  <w:style w:type="character" w:customStyle="1" w:styleId="50">
    <w:name w:val="标题 5 字符"/>
    <w:basedOn w:val="a0"/>
    <w:link w:val="5"/>
    <w:uiPriority w:val="9"/>
    <w:semiHidden/>
    <w:rsid w:val="00DC333C"/>
    <w:rPr>
      <w:rFonts w:eastAsiaTheme="majorEastAsia" w:cstheme="majorBidi"/>
      <w:color w:val="2F5496" w:themeColor="accent1" w:themeShade="BF"/>
    </w:rPr>
  </w:style>
  <w:style w:type="character" w:customStyle="1" w:styleId="60">
    <w:name w:val="标题 6 字符"/>
    <w:basedOn w:val="a0"/>
    <w:link w:val="6"/>
    <w:uiPriority w:val="9"/>
    <w:semiHidden/>
    <w:rsid w:val="00DC333C"/>
    <w:rPr>
      <w:rFonts w:eastAsiaTheme="majorEastAsia" w:cstheme="majorBidi"/>
      <w:i/>
      <w:iCs/>
      <w:color w:val="595959" w:themeColor="text1" w:themeTint="A6"/>
    </w:rPr>
  </w:style>
  <w:style w:type="character" w:customStyle="1" w:styleId="70">
    <w:name w:val="标题 7 字符"/>
    <w:basedOn w:val="a0"/>
    <w:link w:val="7"/>
    <w:uiPriority w:val="9"/>
    <w:semiHidden/>
    <w:rsid w:val="00DC333C"/>
    <w:rPr>
      <w:rFonts w:eastAsiaTheme="majorEastAsia" w:cstheme="majorBidi"/>
      <w:color w:val="595959" w:themeColor="text1" w:themeTint="A6"/>
    </w:rPr>
  </w:style>
  <w:style w:type="character" w:customStyle="1" w:styleId="80">
    <w:name w:val="标题 8 字符"/>
    <w:basedOn w:val="a0"/>
    <w:link w:val="8"/>
    <w:uiPriority w:val="9"/>
    <w:semiHidden/>
    <w:rsid w:val="00DC333C"/>
    <w:rPr>
      <w:rFonts w:eastAsiaTheme="majorEastAsia" w:cstheme="majorBidi"/>
      <w:i/>
      <w:iCs/>
      <w:color w:val="272727" w:themeColor="text1" w:themeTint="D8"/>
    </w:rPr>
  </w:style>
  <w:style w:type="character" w:customStyle="1" w:styleId="90">
    <w:name w:val="标题 9 字符"/>
    <w:basedOn w:val="a0"/>
    <w:link w:val="9"/>
    <w:uiPriority w:val="9"/>
    <w:semiHidden/>
    <w:rsid w:val="00DC333C"/>
    <w:rPr>
      <w:rFonts w:eastAsiaTheme="majorEastAsia" w:cstheme="majorBidi"/>
      <w:color w:val="272727" w:themeColor="text1" w:themeTint="D8"/>
    </w:rPr>
  </w:style>
  <w:style w:type="paragraph" w:styleId="a3">
    <w:name w:val="Title"/>
    <w:basedOn w:val="a"/>
    <w:next w:val="a"/>
    <w:link w:val="a4"/>
    <w:uiPriority w:val="10"/>
    <w:qFormat/>
    <w:rsid w:val="00DC3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33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333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C333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C333C"/>
    <w:pPr>
      <w:spacing w:before="160"/>
      <w:jc w:val="center"/>
    </w:pPr>
    <w:rPr>
      <w:i/>
      <w:iCs/>
      <w:color w:val="404040" w:themeColor="text1" w:themeTint="BF"/>
    </w:rPr>
  </w:style>
  <w:style w:type="character" w:customStyle="1" w:styleId="a8">
    <w:name w:val="引用 字符"/>
    <w:basedOn w:val="a0"/>
    <w:link w:val="a7"/>
    <w:uiPriority w:val="29"/>
    <w:rsid w:val="00DC333C"/>
    <w:rPr>
      <w:i/>
      <w:iCs/>
      <w:color w:val="404040" w:themeColor="text1" w:themeTint="BF"/>
    </w:rPr>
  </w:style>
  <w:style w:type="paragraph" w:styleId="a9">
    <w:name w:val="List Paragraph"/>
    <w:basedOn w:val="a"/>
    <w:uiPriority w:val="34"/>
    <w:qFormat/>
    <w:rsid w:val="00DC333C"/>
    <w:pPr>
      <w:ind w:left="720"/>
      <w:contextualSpacing/>
    </w:pPr>
  </w:style>
  <w:style w:type="character" w:styleId="aa">
    <w:name w:val="Intense Emphasis"/>
    <w:basedOn w:val="a0"/>
    <w:uiPriority w:val="21"/>
    <w:qFormat/>
    <w:rsid w:val="00DC333C"/>
    <w:rPr>
      <w:i/>
      <w:iCs/>
      <w:color w:val="2F5496" w:themeColor="accent1" w:themeShade="BF"/>
    </w:rPr>
  </w:style>
  <w:style w:type="paragraph" w:styleId="ab">
    <w:name w:val="Intense Quote"/>
    <w:basedOn w:val="a"/>
    <w:next w:val="a"/>
    <w:link w:val="ac"/>
    <w:uiPriority w:val="30"/>
    <w:qFormat/>
    <w:rsid w:val="00DC3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C333C"/>
    <w:rPr>
      <w:i/>
      <w:iCs/>
      <w:color w:val="2F5496" w:themeColor="accent1" w:themeShade="BF"/>
    </w:rPr>
  </w:style>
  <w:style w:type="character" w:styleId="ad">
    <w:name w:val="Intense Reference"/>
    <w:basedOn w:val="a0"/>
    <w:uiPriority w:val="32"/>
    <w:qFormat/>
    <w:rsid w:val="00DC333C"/>
    <w:rPr>
      <w:b/>
      <w:bCs/>
      <w:smallCaps/>
      <w:color w:val="2F5496" w:themeColor="accent1" w:themeShade="BF"/>
      <w:spacing w:val="5"/>
    </w:rPr>
  </w:style>
  <w:style w:type="paragraph" w:styleId="ae">
    <w:name w:val="header"/>
    <w:basedOn w:val="a"/>
    <w:link w:val="af"/>
    <w:uiPriority w:val="99"/>
    <w:unhideWhenUsed/>
    <w:rsid w:val="005C2B2A"/>
    <w:pPr>
      <w:tabs>
        <w:tab w:val="center" w:pos="4513"/>
        <w:tab w:val="right" w:pos="9026"/>
      </w:tabs>
      <w:spacing w:after="0" w:line="240" w:lineRule="auto"/>
    </w:pPr>
  </w:style>
  <w:style w:type="character" w:customStyle="1" w:styleId="af">
    <w:name w:val="页眉 字符"/>
    <w:basedOn w:val="a0"/>
    <w:link w:val="ae"/>
    <w:uiPriority w:val="99"/>
    <w:rsid w:val="005C2B2A"/>
  </w:style>
  <w:style w:type="paragraph" w:styleId="af0">
    <w:name w:val="footer"/>
    <w:basedOn w:val="a"/>
    <w:link w:val="af1"/>
    <w:uiPriority w:val="99"/>
    <w:unhideWhenUsed/>
    <w:rsid w:val="005C2B2A"/>
    <w:pPr>
      <w:tabs>
        <w:tab w:val="center" w:pos="4513"/>
        <w:tab w:val="right" w:pos="9026"/>
      </w:tabs>
      <w:spacing w:after="0" w:line="240" w:lineRule="auto"/>
    </w:pPr>
  </w:style>
  <w:style w:type="character" w:customStyle="1" w:styleId="af1">
    <w:name w:val="页脚 字符"/>
    <w:basedOn w:val="a0"/>
    <w:link w:val="af0"/>
    <w:uiPriority w:val="99"/>
    <w:rsid w:val="005C2B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57</Pages>
  <Words>21505</Words>
  <Characters>139140</Characters>
  <Application>Microsoft Office Word</Application>
  <DocSecurity>0</DocSecurity>
  <Lines>1959</Lines>
  <Paragraphs>322</Paragraphs>
  <ScaleCrop>false</ScaleCrop>
  <Company/>
  <LinksUpToDate>false</LinksUpToDate>
  <CharactersWithSpaces>160323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Silence Han</dc:creator>
  <cp:keywords/>
  <dc:description/>
  <cp:lastModifiedBy>Silence Han</cp:lastModifiedBy>
  <cp:revision>2</cp:revision>
  <dcterms:created xsi:type="dcterms:W3CDTF">2026-04-08T08:00:00Z</dcterms:created>
  <dcterms:modified xsi:type="dcterms:W3CDTF">2026-04-08T08:05:00Z</dcterms:modified>
</cp:coreProperties>
</file>