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56C9" w14:textId="77777777" w:rsidR="00BB0E5C" w:rsidRDefault="00BB0E5C">
      <w:pPr>
        <w:spacing w:after="3200"/>
      </w:pPr>
    </w:p>
    <w:p w14:paraId="79AB56CA" w14:textId="77777777" w:rsidR="00BB0E5C" w:rsidRDefault="00000000">
      <w:pPr>
        <w:spacing w:after="160"/>
        <w:jc w:val="center"/>
      </w:pPr>
      <w:r>
        <w:rPr>
          <w:b/>
          <w:bCs/>
          <w:color w:val="1B4F72"/>
          <w:sz w:val="48"/>
          <w:szCs w:val="48"/>
        </w:rPr>
        <w:t>LEO Satellite Site Suitability Engine</w:t>
      </w:r>
    </w:p>
    <w:p w14:paraId="79AB56CB" w14:textId="77777777" w:rsidR="00BB0E5C" w:rsidRDefault="00000000">
      <w:pPr>
        <w:spacing w:after="80"/>
        <w:jc w:val="center"/>
      </w:pPr>
      <w:r>
        <w:rPr>
          <w:color w:val="7F8C8D"/>
          <w:sz w:val="26"/>
          <w:szCs w:val="26"/>
        </w:rPr>
        <w:t>Starlink Installation Feasibility Analysis for North Carolina</w:t>
      </w:r>
    </w:p>
    <w:p w14:paraId="79AB56CC" w14:textId="77777777" w:rsidR="00BB0E5C" w:rsidRDefault="00000000">
      <w:pPr>
        <w:pBdr>
          <w:bottom w:val="single" w:sz="6" w:space="1" w:color="1B4F72"/>
        </w:pBdr>
        <w:spacing w:after="600"/>
        <w:jc w:val="center"/>
      </w:pPr>
      <w:r>
        <w:t xml:space="preserve"> </w:t>
      </w:r>
    </w:p>
    <w:p w14:paraId="79AB56CD" w14:textId="77777777" w:rsidR="00BB0E5C" w:rsidRDefault="00000000">
      <w:pPr>
        <w:spacing w:after="60"/>
        <w:jc w:val="center"/>
      </w:pPr>
      <w:r>
        <w:rPr>
          <w:sz w:val="24"/>
          <w:szCs w:val="24"/>
        </w:rPr>
        <w:t>Xihan Yao</w:t>
      </w:r>
    </w:p>
    <w:p w14:paraId="79AB56CE" w14:textId="77777777" w:rsidR="00BB0E5C" w:rsidRDefault="00000000">
      <w:pPr>
        <w:spacing w:after="60"/>
        <w:jc w:val="center"/>
      </w:pPr>
      <w:r>
        <w:rPr>
          <w:color w:val="7F8C8D"/>
        </w:rPr>
        <w:t>The University of Texas at Austin</w:t>
      </w:r>
    </w:p>
    <w:p w14:paraId="79AB56CF" w14:textId="77777777" w:rsidR="00BB0E5C" w:rsidRDefault="00000000">
      <w:pPr>
        <w:spacing w:after="60"/>
        <w:jc w:val="center"/>
      </w:pPr>
      <w:r>
        <w:rPr>
          <w:color w:val="7F8C8D"/>
        </w:rPr>
        <w:t>xyaoaf@utexas.edu</w:t>
      </w:r>
    </w:p>
    <w:p w14:paraId="79AB56D0" w14:textId="77777777" w:rsidR="00BB0E5C" w:rsidRDefault="00000000">
      <w:pPr>
        <w:spacing w:after="60"/>
        <w:jc w:val="center"/>
      </w:pPr>
      <w:r>
        <w:rPr>
          <w:color w:val="7F8C8D"/>
        </w:rPr>
        <w:t>March 2026</w:t>
      </w:r>
    </w:p>
    <w:p w14:paraId="79AB56D1" w14:textId="77777777" w:rsidR="00BB0E5C" w:rsidRDefault="00000000">
      <w:r>
        <w:br w:type="page"/>
      </w:r>
    </w:p>
    <w:p w14:paraId="79AB56D2" w14:textId="77777777" w:rsidR="00BB0E5C" w:rsidRDefault="00BB0E5C">
      <w:pPr>
        <w:sectPr w:rsidR="00BB0E5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9AB56D3" w14:textId="77777777" w:rsidR="00BB0E5C" w:rsidRDefault="00000000">
      <w:pPr>
        <w:pStyle w:val="Heading1"/>
      </w:pPr>
      <w:r>
        <w:lastRenderedPageBreak/>
        <w:t>1. Executive Summary</w:t>
      </w:r>
    </w:p>
    <w:p w14:paraId="79AB56D4" w14:textId="77777777" w:rsidR="00BB0E5C" w:rsidRDefault="00000000">
      <w:pPr>
        <w:spacing w:after="120"/>
      </w:pPr>
      <w:r>
        <w:t>U.S. states have awarded LEO satellite providers grant funding to deliver broadband to underserved communities, but environmental obstructions—terrain, vegetation, and buildings—can degrade signal quality at specific locations. This system evaluates whether ~4.67 million candidate Starlink installation sites across North Carolina can receive usable service.</w:t>
      </w:r>
    </w:p>
    <w:p w14:paraId="79AB56D5" w14:textId="77777777" w:rsidR="00BB0E5C" w:rsidRDefault="00000000">
      <w:pPr>
        <w:spacing w:after="120"/>
      </w:pPr>
      <w:r>
        <w:t>The engine integrates four public geospatial datasets into a deterministic analysis pipeline. For each candidate location, it composites terrain, canopy, and building data into a unified obstruction surface, performs vectorized ray-casting across 72 azimuth directions, evaluates six hard feasibility constraints, and produces a 0–100 risk score. Locations that fail are automatically searched for better nearby alternatives within 50 meters.</w:t>
      </w:r>
    </w:p>
    <w:p w14:paraId="79AB56D6" w14:textId="77777777" w:rsidR="00BB0E5C" w:rsidRDefault="00000000">
      <w:pPr>
        <w:spacing w:after="120"/>
      </w:pPr>
      <w:r>
        <w:t>The system has been validated on 850+ North Carolina locations and provides five output modes: single-point diagnostics, batch processing, an interactive web map with on-demand analysis, area-of-interest selection, and zonal aggregation at county and census block group levels.</w:t>
      </w:r>
    </w:p>
    <w:p w14:paraId="79AB56D7" w14:textId="77777777" w:rsidR="00BB0E5C" w:rsidRDefault="00000000">
      <w:pPr>
        <w:pStyle w:val="Heading1"/>
      </w:pPr>
      <w:r>
        <w:t>2. Analytical Framework</w:t>
      </w:r>
    </w:p>
    <w:p w14:paraId="79AB56D8" w14:textId="77777777" w:rsidR="00BB0E5C" w:rsidRDefault="00000000">
      <w:pPr>
        <w:spacing w:after="120"/>
      </w:pPr>
      <w:r>
        <w:t>The system answers a single question: given a candidate location, is it suitable for Starlink dish installation, and if not, where nearby is better?</w:t>
      </w:r>
    </w:p>
    <w:p w14:paraId="79AB56D9" w14:textId="77777777" w:rsidR="00BB0E5C" w:rsidRDefault="00000000">
      <w:pPr>
        <w:spacing w:after="120"/>
      </w:pPr>
      <w:r>
        <w:t>The pipeline integrates three spatial data layers into a unified elevation surface:</w:t>
      </w:r>
    </w:p>
    <w:p w14:paraId="79AB56DA" w14:textId="77777777" w:rsidR="00BB0E5C" w:rsidRDefault="00000000">
      <w:pPr>
        <w:pStyle w:val="Heading2"/>
      </w:pPr>
      <w:r>
        <w:t>2.1 Terrain</w:t>
      </w:r>
    </w:p>
    <w:p w14:paraId="79AB56DB" w14:textId="77777777" w:rsidR="00BB0E5C" w:rsidRDefault="00000000">
      <w:pPr>
        <w:spacing w:after="120"/>
      </w:pPr>
      <w:r>
        <w:t>Sourced from the USGS 3D Elevation Program (3DEP) via py3dep, with a four-level resolution fallback ladder (1 m → 3 m → 10 m → 30 m). Terrain is assessed at two scales: far-field (1,500 m radius) for ridges and hills that block low-elevation satellite links, and near-field (100 m) for local slope and micro-topography affecting dish mounting.</w:t>
      </w:r>
    </w:p>
    <w:p w14:paraId="79AB56DC" w14:textId="77777777" w:rsidR="00BB0E5C" w:rsidRDefault="00000000">
      <w:pPr>
        <w:pStyle w:val="Heading2"/>
      </w:pPr>
      <w:r>
        <w:t>2.2 Vegetation</w:t>
      </w:r>
    </w:p>
    <w:p w14:paraId="79AB56DD" w14:textId="77777777" w:rsidR="00BB0E5C" w:rsidRDefault="00000000">
      <w:pPr>
        <w:spacing w:after="120"/>
      </w:pPr>
      <w:r>
        <w:t>Canopy height data from the Meta Global Canopy Height model (Tolan et al., 2024). Primary source: 1 m resolution via Google Earth Engine. Fallback: 27 m Meta ALSGEDI product from AWS S3. Trees act as both geometric obstructions (blocking the FOV) and signal attenuators (reducing throughput even when not fully blocking). Assessed within a 100 m radius.</w:t>
      </w:r>
    </w:p>
    <w:p w14:paraId="79AB56DE" w14:textId="77777777" w:rsidR="00BB0E5C" w:rsidRDefault="00000000">
      <w:pPr>
        <w:pStyle w:val="Heading2"/>
      </w:pPr>
      <w:r>
        <w:t>2.3 Buildings</w:t>
      </w:r>
    </w:p>
    <w:p w14:paraId="79AB56DF" w14:textId="77777777" w:rsidR="00BB0E5C" w:rsidRDefault="00000000">
      <w:pPr>
        <w:spacing w:after="120"/>
      </w:pPr>
      <w:r>
        <w:t>Microsoft ML Building Footprints provide vector polygons with ML-predicted heights (primary for CONUS). Google Open Buildings v3 serves as fallback for non-CONUS regions. Buildings are dual in nature: obstacles when adjacent, but also rooftop installation opportunities that elevate the dish above surrounding obstructions. Assessed within a 100 m radius.</w:t>
      </w:r>
    </w:p>
    <w:p w14:paraId="79AB56E0" w14:textId="77777777" w:rsidR="00BB0E5C" w:rsidRDefault="00000000">
      <w:pPr>
        <w:pStyle w:val="Heading2"/>
      </w:pPr>
      <w:r>
        <w:t>2.4 Horizon Ray-Casting</w:t>
      </w:r>
    </w:p>
    <w:p w14:paraId="79AB56E1" w14:textId="77777777" w:rsidR="00BB0E5C" w:rsidRDefault="00000000">
      <w:pPr>
        <w:spacing w:after="120"/>
      </w:pPr>
      <w:r>
        <w:t xml:space="preserve">The three layers are composited into a unified elevation surface (terrain + canopy + buildings per pixel). A vectorized NumPy ray-casting engine samples 72 azimuth directions (every 5°) from the candidate point. For each azimuth within Starlink’s northward Field of View (±50° </w:t>
      </w:r>
      <w:r>
        <w:lastRenderedPageBreak/>
        <w:t>around North, i.e., azimuths 310°–50°), the algorithm computes the maximum obstruction elevation angle. Directions exceeding the blockage threshold are classified as obstructed, with each direction labeled by dominant obstruction type (terrain, vegetation, or building).</w:t>
      </w:r>
    </w:p>
    <w:p w14:paraId="79AB56E2" w14:textId="77777777" w:rsidR="00BB0E5C" w:rsidRDefault="00000000">
      <w:pPr>
        <w:pStyle w:val="Heading1"/>
      </w:pPr>
      <w:r>
        <w:t>3. Risk Scoring &amp; Feasibility</w:t>
      </w:r>
    </w:p>
    <w:p w14:paraId="79AB56E3" w14:textId="77777777" w:rsidR="00BB0E5C" w:rsidRDefault="00000000">
      <w:pPr>
        <w:pStyle w:val="Heading2"/>
      </w:pPr>
      <w:r>
        <w:t>3.1 Deterministic Risk Score (0–100)</w:t>
      </w:r>
    </w:p>
    <w:p w14:paraId="79AB56E4" w14:textId="77777777" w:rsidR="00BB0E5C" w:rsidRDefault="00000000">
      <w:pPr>
        <w:spacing w:after="120"/>
      </w:pPr>
      <w:r>
        <w:t>Three independent components are summed: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660"/>
      </w:tblGrid>
      <w:tr w:rsidR="00BB0E5C" w14:paraId="79AB5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5" w14:textId="77777777" w:rsidR="00BB0E5C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6" w14:textId="77777777" w:rsidR="00BB0E5C" w:rsidRDefault="00000000">
            <w:r>
              <w:rPr>
                <w:b/>
                <w:bCs/>
                <w:sz w:val="20"/>
                <w:szCs w:val="20"/>
              </w:rPr>
              <w:t>Max Points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7" w14:textId="77777777" w:rsidR="00BB0E5C" w:rsidRDefault="00000000">
            <w:r>
              <w:rPr>
                <w:b/>
                <w:bCs/>
                <w:sz w:val="20"/>
                <w:szCs w:val="20"/>
              </w:rPr>
              <w:t>Logic</w:t>
            </w:r>
          </w:p>
        </w:tc>
      </w:tr>
      <w:tr w:rsidR="00BB0E5C" w14:paraId="79AB5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9" w14:textId="77777777" w:rsidR="00BB0E5C" w:rsidRDefault="00000000">
            <w:r>
              <w:rPr>
                <w:sz w:val="20"/>
                <w:szCs w:val="20"/>
              </w:rPr>
              <w:t>FOV Blockage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A" w14:textId="77777777" w:rsidR="00BB0E5C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B" w14:textId="77777777" w:rsidR="00BB0E5C" w:rsidRDefault="00000000">
            <w:r>
              <w:rPr>
                <w:sz w:val="20"/>
                <w:szCs w:val="20"/>
              </w:rPr>
              <w:t>Fraction of northward FOV obstructed; linear 0%→0, 100%→50</w:t>
            </w:r>
          </w:p>
        </w:tc>
      </w:tr>
      <w:tr w:rsidR="00BB0E5C" w14:paraId="79AB5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D" w14:textId="77777777" w:rsidR="00BB0E5C" w:rsidRDefault="00000000">
            <w:r>
              <w:rPr>
                <w:sz w:val="20"/>
                <w:szCs w:val="20"/>
              </w:rPr>
              <w:t>Angle 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E" w14:textId="77777777" w:rsidR="00BB0E5C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EF" w14:textId="77777777" w:rsidR="00BB0E5C" w:rsidRDefault="00000000">
            <w:r>
              <w:rPr>
                <w:sz w:val="20"/>
                <w:szCs w:val="20"/>
              </w:rPr>
              <w:t>How far above threshold the worst obstruction reaches; higher = worse</w:t>
            </w:r>
          </w:p>
        </w:tc>
      </w:tr>
      <w:tr w:rsidR="00BB0E5C" w14:paraId="79AB56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1" w14:textId="77777777" w:rsidR="00BB0E5C" w:rsidRDefault="00000000">
            <w:r>
              <w:rPr>
                <w:sz w:val="20"/>
                <w:szCs w:val="20"/>
              </w:rPr>
              <w:t>Permanence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2" w14:textId="77777777" w:rsidR="00BB0E5C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3" w14:textId="77777777" w:rsidR="00BB0E5C" w:rsidRDefault="00000000">
            <w:r>
              <w:rPr>
                <w:sz w:val="20"/>
                <w:szCs w:val="20"/>
              </w:rPr>
              <w:t>Terrain: 1.0×, Buildings: 1.0×, Vegetation: 0.6× (seasonal discount)</w:t>
            </w:r>
          </w:p>
        </w:tc>
      </w:tr>
    </w:tbl>
    <w:p w14:paraId="79AB56F5" w14:textId="77777777" w:rsidR="00BB0E5C" w:rsidRDefault="00BB0E5C">
      <w:pPr>
        <w:spacing w:after="100"/>
      </w:pPr>
    </w:p>
    <w:p w14:paraId="79AB56F6" w14:textId="77777777" w:rsidR="00BB0E5C" w:rsidRDefault="00000000">
      <w:pPr>
        <w:spacing w:after="120"/>
      </w:pPr>
      <w:r>
        <w:t>Tiers: Low (0–19) | Moderate (20–44) | High (45–69) | Critical (70–100).</w:t>
      </w:r>
    </w:p>
    <w:p w14:paraId="79AB56F7" w14:textId="77777777" w:rsidR="00BB0E5C" w:rsidRDefault="00000000">
      <w:pPr>
        <w:pStyle w:val="Heading2"/>
      </w:pPr>
      <w:r>
        <w:t>3.2 Six Feasibility Constraints</w:t>
      </w:r>
    </w:p>
    <w:p w14:paraId="79AB56F8" w14:textId="77777777" w:rsidR="00BB0E5C" w:rsidRDefault="00000000">
      <w:pPr>
        <w:spacing w:after="120"/>
      </w:pPr>
      <w:r>
        <w:t>A location is feasible only if all six binary constraints pass (logical AND):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4660"/>
      </w:tblGrid>
      <w:tr w:rsidR="00BB0E5C" w14:paraId="79AB56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9" w14:textId="77777777" w:rsidR="00BB0E5C" w:rsidRDefault="00000000"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A" w14:textId="77777777" w:rsidR="00BB0E5C" w:rsidRDefault="00000000"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B" w14:textId="77777777" w:rsidR="00BB0E5C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BB0E5C" w14:paraId="79AB5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D" w14:textId="77777777" w:rsidR="00BB0E5C" w:rsidRDefault="00000000">
            <w:r>
              <w:rPr>
                <w:sz w:val="20"/>
                <w:szCs w:val="20"/>
              </w:rPr>
              <w:t>Far-field terrain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E" w14:textId="77777777" w:rsidR="00BB0E5C" w:rsidRDefault="00000000">
            <w:r>
              <w:rPr>
                <w:sz w:val="20"/>
                <w:szCs w:val="20"/>
              </w:rPr>
              <w:t>≤10% FOV blocked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6FF" w14:textId="77777777" w:rsidR="00BB0E5C" w:rsidRDefault="00000000">
            <w:r>
              <w:rPr>
                <w:sz w:val="20"/>
                <w:szCs w:val="20"/>
              </w:rPr>
              <w:t>Regional topography—cannot be mitigated</w:t>
            </w:r>
          </w:p>
        </w:tc>
      </w:tr>
      <w:tr w:rsidR="00BB0E5C" w14:paraId="79AB5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1" w14:textId="77777777" w:rsidR="00BB0E5C" w:rsidRDefault="00000000">
            <w:r>
              <w:rPr>
                <w:sz w:val="20"/>
                <w:szCs w:val="20"/>
              </w:rPr>
              <w:t>Local slope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2" w14:textId="77777777" w:rsidR="00BB0E5C" w:rsidRDefault="00000000">
            <w:r>
              <w:rPr>
                <w:sz w:val="20"/>
                <w:szCs w:val="20"/>
              </w:rPr>
              <w:t>&lt;20°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3" w14:textId="77777777" w:rsidR="00BB0E5C" w:rsidRDefault="00000000">
            <w:r>
              <w:rPr>
                <w:sz w:val="20"/>
                <w:szCs w:val="20"/>
              </w:rPr>
              <w:t>Ground-mount stability limit</w:t>
            </w:r>
          </w:p>
        </w:tc>
      </w:tr>
      <w:tr w:rsidR="00BB0E5C" w14:paraId="79AB5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5" w14:textId="77777777" w:rsidR="00BB0E5C" w:rsidRDefault="00000000">
            <w:r>
              <w:rPr>
                <w:sz w:val="20"/>
                <w:szCs w:val="20"/>
              </w:rPr>
              <w:t>Canopy at dish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6" w14:textId="77777777" w:rsidR="00BB0E5C" w:rsidRDefault="00000000">
            <w:r>
              <w:rPr>
                <w:sz w:val="20"/>
                <w:szCs w:val="20"/>
              </w:rPr>
              <w:t>&lt;1 m (1m res) / &lt;8 m (27m res)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7" w14:textId="77777777" w:rsidR="00BB0E5C" w:rsidRDefault="00000000">
            <w:r>
              <w:rPr>
                <w:sz w:val="20"/>
                <w:szCs w:val="20"/>
              </w:rPr>
              <w:t>No tree directly at installation point</w:t>
            </w:r>
          </w:p>
        </w:tc>
      </w:tr>
      <w:tr w:rsidR="00BB0E5C" w14:paraId="79AB5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9" w14:textId="77777777" w:rsidR="00BB0E5C" w:rsidRDefault="00000000">
            <w:r>
              <w:rPr>
                <w:sz w:val="20"/>
                <w:szCs w:val="20"/>
              </w:rPr>
              <w:t>Vegetation FOV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A" w14:textId="77777777" w:rsidR="00BB0E5C" w:rsidRDefault="00000000">
            <w:r>
              <w:rPr>
                <w:sz w:val="20"/>
                <w:szCs w:val="20"/>
              </w:rPr>
              <w:t>≤15% FOV blocked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B" w14:textId="77777777" w:rsidR="00BB0E5C" w:rsidRDefault="00000000">
            <w:r>
              <w:rPr>
                <w:sz w:val="20"/>
                <w:szCs w:val="20"/>
              </w:rPr>
              <w:t>Seasonal obstruction, moderate tolerance</w:t>
            </w:r>
          </w:p>
        </w:tc>
      </w:tr>
      <w:tr w:rsidR="00BB0E5C" w14:paraId="79AB57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D" w14:textId="77777777" w:rsidR="00BB0E5C" w:rsidRDefault="00000000">
            <w:r>
              <w:rPr>
                <w:sz w:val="20"/>
                <w:szCs w:val="20"/>
              </w:rPr>
              <w:t>Building FOV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E" w14:textId="77777777" w:rsidR="00BB0E5C" w:rsidRDefault="00000000">
            <w:r>
              <w:rPr>
                <w:sz w:val="20"/>
                <w:szCs w:val="20"/>
              </w:rPr>
              <w:t>≤5% FOV blocked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0F" w14:textId="77777777" w:rsidR="00BB0E5C" w:rsidRDefault="00000000">
            <w:r>
              <w:rPr>
                <w:sz w:val="20"/>
                <w:szCs w:val="20"/>
              </w:rPr>
              <w:t>Hard, permanent obstruction</w:t>
            </w:r>
          </w:p>
        </w:tc>
      </w:tr>
      <w:tr w:rsidR="00BB0E5C" w14:paraId="79AB5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11" w14:textId="77777777" w:rsidR="00BB0E5C" w:rsidRDefault="00000000">
            <w:r>
              <w:rPr>
                <w:sz w:val="20"/>
                <w:szCs w:val="20"/>
              </w:rPr>
              <w:t>Roof usability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12" w14:textId="77777777" w:rsidR="00BB0E5C" w:rsidRDefault="00000000">
            <w:r>
              <w:rPr>
                <w:sz w:val="20"/>
                <w:szCs w:val="20"/>
              </w:rPr>
              <w:t>No overhang degradation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13" w14:textId="77777777" w:rsidR="00BB0E5C" w:rsidRDefault="00000000">
            <w:r>
              <w:rPr>
                <w:sz w:val="20"/>
                <w:szCs w:val="20"/>
              </w:rPr>
              <w:t>Evaluated for rooftop candidates</w:t>
            </w:r>
          </w:p>
        </w:tc>
      </w:tr>
    </w:tbl>
    <w:p w14:paraId="79AB5715" w14:textId="77777777" w:rsidR="00BB0E5C" w:rsidRDefault="00BB0E5C">
      <w:pPr>
        <w:spacing w:after="100"/>
      </w:pPr>
    </w:p>
    <w:p w14:paraId="79AB5716" w14:textId="77777777" w:rsidR="00BB0E5C" w:rsidRDefault="00000000">
      <w:pPr>
        <w:pStyle w:val="Heading2"/>
      </w:pPr>
      <w:r>
        <w:t>3.3 Local Neighborhood Search</w:t>
      </w:r>
    </w:p>
    <w:p w14:paraId="79AB5717" w14:textId="77777777" w:rsidR="00BB0E5C" w:rsidRDefault="00000000">
      <w:pPr>
        <w:spacing w:after="120"/>
      </w:pPr>
      <w:r>
        <w:t>If a location is infeasible or scores above 20, the system automatically searches ~50 candidate points within a 50 m radius. Each alternative is scored with the full pipeline plus a distance penalty (0.3 pts/m). The best candidate, improvement delta, and explanation are returned. This addresses the reality that input coordinates are approximate (geocoding error of 10–50 m).</w:t>
      </w:r>
    </w:p>
    <w:p w14:paraId="79AB5718" w14:textId="77777777" w:rsidR="00BB0E5C" w:rsidRDefault="00000000">
      <w:pPr>
        <w:pStyle w:val="Heading1"/>
      </w:pPr>
      <w:r>
        <w:t>4. Output Workflows</w:t>
      </w:r>
    </w:p>
    <w:p w14:paraId="79AB5719" w14:textId="77777777" w:rsidR="00BB0E5C" w:rsidRDefault="00000000">
      <w:pPr>
        <w:spacing w:after="120"/>
      </w:pPr>
      <w:r>
        <w:t>The system supports five distinct modes:</w:t>
      </w:r>
    </w:p>
    <w:p w14:paraId="79AB571A" w14:textId="77777777" w:rsidR="00BB0E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 xml:space="preserve">Single-point diagnostic: </w:t>
      </w:r>
    </w:p>
    <w:p w14:paraId="79AB571B" w14:textId="77777777" w:rsidR="00BB0E5C" w:rsidRDefault="00000000">
      <w:pPr>
        <w:spacing w:after="80"/>
      </w:pPr>
      <w:r>
        <w:lastRenderedPageBreak/>
        <w:t xml:space="preserve">Full analysis of one location producing a 5-panel diagnostic PNG (terrain </w:t>
      </w:r>
      <w:proofErr w:type="spellStart"/>
      <w:r>
        <w:t>hillshade</w:t>
      </w:r>
      <w:proofErr w:type="spellEnd"/>
      <w:r>
        <w:t xml:space="preserve">, canopy + buildings overlay, constraint map, polar horizon profile, </w:t>
      </w:r>
      <w:proofErr w:type="spellStart"/>
      <w:r>
        <w:t>neighbourhood</w:t>
      </w:r>
      <w:proofErr w:type="spellEnd"/>
      <w:r>
        <w:t xml:space="preserve"> suitability) and a structured JSON report.</w:t>
      </w:r>
    </w:p>
    <w:p w14:paraId="79AB571C" w14:textId="77777777" w:rsidR="00BB0E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 xml:space="preserve">Batch processing: </w:t>
      </w:r>
    </w:p>
    <w:p w14:paraId="79AB571D" w14:textId="77777777" w:rsidR="00BB0E5C" w:rsidRDefault="00000000">
      <w:pPr>
        <w:spacing w:after="80"/>
      </w:pPr>
      <w:r>
        <w:t>Analyzes hundreds of points with spatially uniform sampling, concurrent workers (capped by 3DEP rate limits), and automatic skip of already-analyzed points. Tested on 850+ NC locations.</w:t>
      </w:r>
    </w:p>
    <w:p w14:paraId="79AB571E" w14:textId="77777777" w:rsidR="00BB0E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 xml:space="preserve">Interactive web map: </w:t>
      </w:r>
    </w:p>
    <w:p w14:paraId="79AB571F" w14:textId="77777777" w:rsidR="00BB0E5C" w:rsidRDefault="00000000">
      <w:pPr>
        <w:spacing w:after="80"/>
      </w:pPr>
      <w:proofErr w:type="spellStart"/>
      <w:r>
        <w:t>FastAPI</w:t>
      </w:r>
      <w:proofErr w:type="spellEnd"/>
      <w:r>
        <w:t xml:space="preserve"> + Leaflet.js application with multi-scale visualization. Pre-computed results displayed as color-coded markers. Clicking any point triggers on-demand analysis (~30 s) with results cached persistently.</w:t>
      </w:r>
    </w:p>
    <w:p w14:paraId="79AB5720" w14:textId="77777777" w:rsidR="00BB0E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 xml:space="preserve">AOI / region analysis: </w:t>
      </w:r>
    </w:p>
    <w:p w14:paraId="79AB5721" w14:textId="77777777" w:rsidR="00BB0E5C" w:rsidRDefault="00000000">
      <w:pPr>
        <w:spacing w:after="80"/>
      </w:pPr>
      <w:r>
        <w:t>Draw a rectangle on the map to select an area of interest. The system filters the 4.67M dataset, samples up to 100 points with spatial uniformity, and runs batch analysis.</w:t>
      </w:r>
    </w:p>
    <w:p w14:paraId="79AB5722" w14:textId="77777777" w:rsidR="00BB0E5C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</w:t>
      </w:r>
      <w:r>
        <w:t xml:space="preserve">Zonal aggregation: </w:t>
      </w:r>
    </w:p>
    <w:p w14:paraId="79AB5723" w14:textId="77777777" w:rsidR="00BB0E5C" w:rsidRDefault="00000000">
      <w:pPr>
        <w:spacing w:after="200"/>
      </w:pPr>
      <w:r>
        <w:t>Results aggregated at county (100 polygons) and census block group (7,111 polygons) levels. Metrics: points processed, % feasible, dominant failure mode per zone. Choropleth maps with continuous color gradient.</w:t>
      </w:r>
    </w:p>
    <w:p w14:paraId="79AB5724" w14:textId="77777777" w:rsidR="00BB0E5C" w:rsidRDefault="00000000">
      <w:pPr>
        <w:pStyle w:val="Heading1"/>
      </w:pPr>
      <w:r>
        <w:t>5. Results</w:t>
      </w:r>
    </w:p>
    <w:p w14:paraId="79AB5725" w14:textId="77777777" w:rsidR="00BB0E5C" w:rsidRDefault="00000000">
      <w:pPr>
        <w:pStyle w:val="Heading2"/>
      </w:pPr>
      <w:r>
        <w:t>5.1 Dataset Overview</w:t>
      </w:r>
    </w:p>
    <w:p w14:paraId="79AB5726" w14:textId="77777777" w:rsidR="00BB0E5C" w:rsidRDefault="00000000">
      <w:pPr>
        <w:spacing w:after="120"/>
      </w:pPr>
      <w:r>
        <w:t>The DATA_CHALLENGE_50 dataset contains 4,670,543 candidate locations across all 100 North Carolina counties. The density map below shows the spatial distribution, with concentrations in the Charlotte, Raleigh–Durham, and Triad metro areas.</w:t>
      </w:r>
    </w:p>
    <w:p w14:paraId="79AB5727" w14:textId="77777777" w:rsidR="00BB0E5C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79AB5774" wp14:editId="79AB5775">
            <wp:extent cx="5524500" cy="2028825"/>
            <wp:effectExtent l="0" t="0" r="0" b="0"/>
            <wp:docPr id="1" name="density" descr="Spatial distribution of candidate locations" title="NC Den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5728" w14:textId="77777777" w:rsidR="00BB0E5C" w:rsidRDefault="00000000">
      <w:pPr>
        <w:spacing w:before="80" w:after="240"/>
        <w:jc w:val="center"/>
      </w:pPr>
      <w:r>
        <w:rPr>
          <w:i/>
          <w:iCs/>
          <w:color w:val="7F8C8D"/>
          <w:sz w:val="18"/>
          <w:szCs w:val="18"/>
        </w:rPr>
        <w:t>Figure 1. Spatial distribution of 4.67M candidate locations and address density across North Carolina.</w:t>
      </w:r>
    </w:p>
    <w:p w14:paraId="79AB5729" w14:textId="77777777" w:rsidR="00BB0E5C" w:rsidRDefault="00000000">
      <w:pPr>
        <w:pStyle w:val="Heading2"/>
      </w:pPr>
      <w:r>
        <w:t>5.2 County-Level Risk Aggregation</w:t>
      </w:r>
    </w:p>
    <w:p w14:paraId="79AB572A" w14:textId="77777777" w:rsidR="00BB0E5C" w:rsidRDefault="00000000">
      <w:pPr>
        <w:spacing w:after="120"/>
      </w:pPr>
      <w:r>
        <w:t>After analyzing 850+ locations across NC, results were aggregated at the county level. The choropleth below shows three views: mean risk score, percentage of infeasible locations, and percentage of critical-risk locations.</w:t>
      </w:r>
    </w:p>
    <w:p w14:paraId="79AB572B" w14:textId="77777777" w:rsidR="00BB0E5C" w:rsidRDefault="00000000">
      <w:pPr>
        <w:spacing w:after="120"/>
      </w:pPr>
      <w:r>
        <w:t xml:space="preserve">Western NC counties in the </w:t>
      </w:r>
      <w:proofErr w:type="gramStart"/>
      <w:r>
        <w:t>Appalachian mountains</w:t>
      </w:r>
      <w:proofErr w:type="gramEnd"/>
      <w:r>
        <w:t xml:space="preserve"> show consistently higher risk scores and infeasibility rates, driven by terrain obstruction. Piedmont and Coastal Plain counties are </w:t>
      </w:r>
      <w:r>
        <w:lastRenderedPageBreak/>
        <w:t xml:space="preserve">generally </w:t>
      </w:r>
      <w:proofErr w:type="gramStart"/>
      <w:r>
        <w:t>low-risk</w:t>
      </w:r>
      <w:proofErr w:type="gramEnd"/>
      <w:r>
        <w:t xml:space="preserve"> with open sky conditions. Counties with dense urban canopy (e.g., Durham, Orange) show moderate risk from vegetation.</w:t>
      </w:r>
    </w:p>
    <w:p w14:paraId="79AB572C" w14:textId="77777777" w:rsidR="00BB0E5C" w:rsidRDefault="00000000">
      <w:pPr>
        <w:spacing w:before="160"/>
        <w:jc w:val="center"/>
      </w:pPr>
      <w:r>
        <w:rPr>
          <w:noProof/>
        </w:rPr>
        <w:drawing>
          <wp:inline distT="0" distB="0" distL="0" distR="0" wp14:anchorId="79AB5776" wp14:editId="79AB5777">
            <wp:extent cx="5524500" cy="1638300"/>
            <wp:effectExtent l="0" t="0" r="0" b="0"/>
            <wp:docPr id="1095119815" name="choropleth" descr="County-level risk aggregation" title="County Chorople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572D" w14:textId="77777777" w:rsidR="00BB0E5C" w:rsidRDefault="00000000">
      <w:pPr>
        <w:spacing w:before="80" w:after="240"/>
        <w:jc w:val="center"/>
      </w:pPr>
      <w:r>
        <w:rPr>
          <w:i/>
          <w:iCs/>
          <w:color w:val="7F8C8D"/>
          <w:sz w:val="18"/>
          <w:szCs w:val="18"/>
        </w:rPr>
        <w:t>Figure 2. County-level aggregation: mean risk score (left), % infeasible (center), % critical (right).</w:t>
      </w:r>
    </w:p>
    <w:p w14:paraId="79AB572E" w14:textId="77777777" w:rsidR="00BB0E5C" w:rsidRDefault="00000000">
      <w:pPr>
        <w:pStyle w:val="Heading2"/>
      </w:pPr>
      <w:r>
        <w:t>5.3 Key Patterns</w:t>
      </w:r>
    </w:p>
    <w:p w14:paraId="79AB572F" w14:textId="77777777" w:rsidR="00BB0E5C" w:rsidRDefault="00000000">
      <w:pPr>
        <w:spacing w:after="120"/>
      </w:pPr>
      <w:r>
        <w:t>Three distinct geographic risk regimes emerge:</w:t>
      </w:r>
    </w:p>
    <w:p w14:paraId="79AB5730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Western NC:</w:t>
      </w:r>
      <w:r>
        <w:t xml:space="preserve"> Mountain counties (Avery, Watauga, Ashe): 50–70% infeasibility rates. Terrain is the dominant constraint—ridgelines block the northward FOV at distances up to 1.5 km.</w:t>
      </w:r>
    </w:p>
    <w:p w14:paraId="79AB5731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Central NC:</w:t>
      </w:r>
      <w:r>
        <w:t xml:space="preserve"> Piedmont and urban counties: 10–30% infeasibility. Mixed vegetation and building obstructions, with rooftop installation often viable.</w:t>
      </w:r>
    </w:p>
    <w:p w14:paraId="79AB5732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Eastern NC:</w:t>
      </w:r>
      <w:r>
        <w:t xml:space="preserve"> Coastal Plain counties: &lt;10% infeasibility. Flat terrain with minimal obstructions. Risk driven primarily by isolated tree canopy.</w:t>
      </w:r>
    </w:p>
    <w:p w14:paraId="79AB5733" w14:textId="77777777" w:rsidR="00BB0E5C" w:rsidRDefault="00BB0E5C">
      <w:pPr>
        <w:spacing w:after="100"/>
      </w:pPr>
    </w:p>
    <w:p w14:paraId="79AB5734" w14:textId="77777777" w:rsidR="00BB0E5C" w:rsidRDefault="00000000">
      <w:r>
        <w:br w:type="page"/>
      </w:r>
    </w:p>
    <w:p w14:paraId="79AB5735" w14:textId="77777777" w:rsidR="00BB0E5C" w:rsidRDefault="00000000">
      <w:pPr>
        <w:pStyle w:val="Heading1"/>
      </w:pPr>
      <w:r>
        <w:lastRenderedPageBreak/>
        <w:t>6. System Design Highlights</w:t>
      </w:r>
    </w:p>
    <w:p w14:paraId="79AB5736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Multi-scale terrain modeling (far-field 1,500 m + near-field 100 m)</w:t>
      </w:r>
    </w:p>
    <w:p w14:paraId="79AB5737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Unified elevation surface compositing terrain + canopy + buildings</w:t>
      </w:r>
    </w:p>
    <w:p w14:paraId="79AB5738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Vectorized NumPy ray-casting engine (72 directions, fully deterministic)</w:t>
      </w:r>
    </w:p>
    <w:p w14:paraId="79AB5739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Four-level resolution fallback ladders for terrain and canopy data</w:t>
      </w:r>
    </w:p>
    <w:p w14:paraId="79AB573A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Deterministic scoring formula (no ML dependency, fully reproducible)</w:t>
      </w:r>
    </w:p>
    <w:p w14:paraId="79AB573B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Automatic local search for actionable relocation recommendations</w:t>
      </w:r>
    </w:p>
    <w:p w14:paraId="79AB573C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Multi-scale web visualization (county → block group → individual dots)</w:t>
      </w:r>
    </w:p>
    <w:p w14:paraId="79AB573D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Progressive data loading (viewport-based, never loads all 4.67M at once)</w:t>
      </w:r>
    </w:p>
    <w:p w14:paraId="79AB573E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Continuous choropleth gradient with live zonal statistics updates</w:t>
      </w:r>
    </w:p>
    <w:p w14:paraId="79AB573F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Claude-orchestrated agent interface for natural-language queries</w:t>
      </w:r>
    </w:p>
    <w:p w14:paraId="79AB5740" w14:textId="77777777" w:rsidR="00BB0E5C" w:rsidRDefault="00BB0E5C">
      <w:pPr>
        <w:spacing w:after="200"/>
      </w:pPr>
    </w:p>
    <w:p w14:paraId="79AB5741" w14:textId="77777777" w:rsidR="00BB0E5C" w:rsidRDefault="00000000">
      <w:pPr>
        <w:pStyle w:val="Heading1"/>
      </w:pPr>
      <w:r>
        <w:t>7. Limitations &amp; Future Work</w:t>
      </w:r>
    </w:p>
    <w:p w14:paraId="79AB5742" w14:textId="77777777" w:rsidR="00BB0E5C" w:rsidRDefault="00000000">
      <w:pPr>
        <w:pStyle w:val="Heading2"/>
      </w:pPr>
      <w:r>
        <w:t>7.1 Current Limitations</w:t>
      </w:r>
    </w:p>
    <w:p w14:paraId="79AB5743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USGS 3DEP rate limiting caps throughput at ~500 locations/hour single-threaded</w:t>
      </w:r>
    </w:p>
    <w:p w14:paraId="79AB5744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Canopy height is a static snapshot (~2022); seasonal and recent changes not captured</w:t>
      </w:r>
    </w:p>
    <w:p w14:paraId="79AB5745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Building heights are ML-estimated (±2–5 m uncertainty for tall structures)</w:t>
      </w:r>
    </w:p>
    <w:p w14:paraId="79AB5746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Scoring weights (50/30/20) are engineering-calibrated, not empirically validated</w:t>
      </w:r>
    </w:p>
    <w:p w14:paraId="79AB5747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Binary obstruction threshold (25°) may overestimate infeasibility for marginal cases</w:t>
      </w:r>
    </w:p>
    <w:p w14:paraId="79AB5748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No uncertainty quantification—single score without confidence interval</w:t>
      </w:r>
    </w:p>
    <w:p w14:paraId="79AB5749" w14:textId="77777777" w:rsidR="00BB0E5C" w:rsidRDefault="00BB0E5C">
      <w:pPr>
        <w:spacing w:after="100"/>
      </w:pPr>
    </w:p>
    <w:p w14:paraId="79AB574A" w14:textId="77777777" w:rsidR="00BB0E5C" w:rsidRDefault="00000000">
      <w:pPr>
        <w:pStyle w:val="Heading2"/>
      </w:pPr>
      <w:r>
        <w:t>7.2 Future Improvements</w:t>
      </w:r>
    </w:p>
    <w:p w14:paraId="79AB574B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Terrain tile pre-caching by county for 10× batch throughput</w:t>
      </w:r>
    </w:p>
    <w:p w14:paraId="79AB574C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Temporal satellite modeling via TLE orbit propagation</w:t>
      </w:r>
    </w:p>
    <w:p w14:paraId="79AB574D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Sub-threshold vegetation attenuation model (partial signal loss)</w:t>
      </w:r>
    </w:p>
    <w:p w14:paraId="79AB574E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ML-based score calibration against real Starlink signal quality data</w:t>
      </w:r>
    </w:p>
    <w:p w14:paraId="79AB574F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PostGIS</w:t>
      </w:r>
      <w:proofErr w:type="spellEnd"/>
      <w:r>
        <w:t xml:space="preserve"> persistence layer for concurrent access and spatial indexing</w:t>
      </w:r>
    </w:p>
    <w:p w14:paraId="79AB5750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GPU-accelerated ray-casting for real-time analysis</w:t>
      </w:r>
    </w:p>
    <w:p w14:paraId="79AB5751" w14:textId="77777777" w:rsidR="00BB0E5C" w:rsidRDefault="00BB0E5C">
      <w:pPr>
        <w:spacing w:after="200"/>
      </w:pPr>
    </w:p>
    <w:p w14:paraId="79AB5752" w14:textId="77777777" w:rsidR="00BB0E5C" w:rsidRDefault="00000000">
      <w:pPr>
        <w:pStyle w:val="Heading1"/>
      </w:pPr>
      <w:r>
        <w:t>8. Reproducibility</w:t>
      </w:r>
    </w:p>
    <w:p w14:paraId="79AB5753" w14:textId="77777777" w:rsidR="00BB0E5C" w:rsidRDefault="00000000">
      <w:pPr>
        <w:pStyle w:val="Heading2"/>
      </w:pPr>
      <w:r>
        <w:t>8.1 Environment Setup</w:t>
      </w:r>
    </w:p>
    <w:p w14:paraId="79AB5754" w14:textId="77777777" w:rsidR="00BB0E5C" w:rsidRDefault="00000000">
      <w:pPr>
        <w:spacing w:after="120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conda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activate cs378</w:t>
      </w:r>
    </w:p>
    <w:p w14:paraId="79AB5755" w14:textId="77777777" w:rsidR="00BB0E5C" w:rsidRDefault="00000000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export ANTHROPIC_API_KEY=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-ant-...</w:t>
      </w:r>
    </w:p>
    <w:p w14:paraId="79AB5756" w14:textId="77777777" w:rsidR="00BB0E5C" w:rsidRDefault="00000000">
      <w:pPr>
        <w:spacing w:after="1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leo_risk_analysis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--port 8000</w:t>
      </w:r>
    </w:p>
    <w:p w14:paraId="79AB5757" w14:textId="77777777" w:rsidR="00BB0E5C" w:rsidRDefault="00BB0E5C">
      <w:pPr>
        <w:spacing w:after="80"/>
      </w:pPr>
    </w:p>
    <w:p w14:paraId="79AB5758" w14:textId="77777777" w:rsidR="00BB0E5C" w:rsidRDefault="00000000">
      <w:pPr>
        <w:pStyle w:val="Heading2"/>
      </w:pPr>
      <w:r>
        <w:t>8.2 Key Directories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B0E5C" w14:paraId="79AB57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59" w14:textId="77777777" w:rsidR="00BB0E5C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5A" w14:textId="77777777" w:rsidR="00BB0E5C" w:rsidRDefault="00000000">
            <w:r>
              <w:rPr>
                <w:b/>
                <w:bCs/>
                <w:sz w:val="20"/>
                <w:szCs w:val="20"/>
              </w:rPr>
              <w:t>Contents</w:t>
            </w:r>
          </w:p>
        </w:tc>
      </w:tr>
      <w:tr w:rsidR="00BB0E5C" w14:paraId="79AB5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5C" w14:textId="77777777" w:rsidR="00BB0E5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5D" w14:textId="77777777" w:rsidR="00BB0E5C" w:rsidRDefault="00000000">
            <w:r>
              <w:rPr>
                <w:sz w:val="20"/>
                <w:szCs w:val="20"/>
              </w:rPr>
              <w:t>Core pipeline: terrain, canopy, buildings, horizon, scoring, feasibility</w:t>
            </w:r>
          </w:p>
        </w:tc>
      </w:tr>
      <w:tr w:rsidR="00BB0E5C" w14:paraId="79AB57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5F" w14:textId="77777777" w:rsidR="00BB0E5C" w:rsidRDefault="00000000">
            <w:r>
              <w:rPr>
                <w:sz w:val="20"/>
                <w:szCs w:val="20"/>
              </w:rPr>
              <w:t>outputs/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0" w14:textId="77777777" w:rsidR="00BB0E5C" w:rsidRDefault="00000000">
            <w:r>
              <w:rPr>
                <w:sz w:val="20"/>
                <w:szCs w:val="20"/>
              </w:rPr>
              <w:t>Pre-computed results: JSON + PNG per analyzed point</w:t>
            </w:r>
          </w:p>
        </w:tc>
      </w:tr>
      <w:tr w:rsidR="00BB0E5C" w14:paraId="79AB57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2" w14:textId="77777777" w:rsidR="00BB0E5C" w:rsidRDefault="00000000">
            <w:r>
              <w:rPr>
                <w:sz w:val="20"/>
                <w:szCs w:val="20"/>
              </w:rPr>
              <w:t>outputs/zonal/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3" w14:textId="77777777" w:rsidR="00BB0E5C" w:rsidRDefault="00000000">
            <w:r>
              <w:rPr>
                <w:sz w:val="20"/>
                <w:szCs w:val="20"/>
              </w:rPr>
              <w:t>County and block group summary CSVs + choropleth PNGs</w:t>
            </w:r>
          </w:p>
        </w:tc>
      </w:tr>
      <w:tr w:rsidR="00BB0E5C" w14:paraId="79AB5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5" w14:textId="77777777" w:rsidR="00BB0E5C" w:rsidRDefault="00000000">
            <w:r>
              <w:rPr>
                <w:sz w:val="20"/>
                <w:szCs w:val="20"/>
              </w:rPr>
              <w:t>data/boundaries/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6" w14:textId="77777777" w:rsidR="00BB0E5C" w:rsidRDefault="00000000">
            <w:r>
              <w:rPr>
                <w:sz w:val="20"/>
                <w:szCs w:val="20"/>
              </w:rPr>
              <w:t>TIGER/</w:t>
            </w:r>
            <w:proofErr w:type="gramStart"/>
            <w:r>
              <w:rPr>
                <w:sz w:val="20"/>
                <w:szCs w:val="20"/>
              </w:rPr>
              <w:t>Line county</w:t>
            </w:r>
            <w:proofErr w:type="gramEnd"/>
            <w:r>
              <w:rPr>
                <w:sz w:val="20"/>
                <w:szCs w:val="20"/>
              </w:rPr>
              <w:t xml:space="preserve"> + block group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(NC)</w:t>
            </w:r>
          </w:p>
        </w:tc>
      </w:tr>
      <w:tr w:rsidR="00BB0E5C" w14:paraId="79AB5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8" w14:textId="77777777" w:rsidR="00BB0E5C" w:rsidRDefault="00000000">
            <w:r>
              <w:rPr>
                <w:sz w:val="20"/>
                <w:szCs w:val="20"/>
              </w:rPr>
              <w:t>templates/map.html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9" w14:textId="77777777" w:rsidR="00BB0E5C" w:rsidRDefault="00000000">
            <w:r>
              <w:rPr>
                <w:sz w:val="20"/>
                <w:szCs w:val="20"/>
              </w:rPr>
              <w:t>Interactive Leaflet.js frontend</w:t>
            </w:r>
          </w:p>
        </w:tc>
      </w:tr>
      <w:tr w:rsidR="00BB0E5C" w14:paraId="79AB5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B" w14:textId="77777777" w:rsidR="00BB0E5C" w:rsidRDefault="00000000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576C" w14:textId="77777777" w:rsidR="00BB0E5C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web server</w:t>
            </w:r>
          </w:p>
        </w:tc>
      </w:tr>
    </w:tbl>
    <w:p w14:paraId="79AB576E" w14:textId="77777777" w:rsidR="00BB0E5C" w:rsidRDefault="00BB0E5C">
      <w:pPr>
        <w:spacing w:after="100"/>
      </w:pPr>
    </w:p>
    <w:p w14:paraId="79AB576F" w14:textId="77777777" w:rsidR="00BB0E5C" w:rsidRDefault="00000000">
      <w:pPr>
        <w:pStyle w:val="Heading2"/>
      </w:pPr>
      <w:r>
        <w:t>8.3 Data Files (Google Drive)</w:t>
      </w:r>
    </w:p>
    <w:p w14:paraId="79AB5770" w14:textId="77777777" w:rsidR="00BB0E5C" w:rsidRDefault="00000000">
      <w:pPr>
        <w:spacing w:after="120"/>
      </w:pPr>
      <w:r>
        <w:t>Large data files not included in the repository are available on Google Drive:</w:t>
      </w:r>
    </w:p>
    <w:p w14:paraId="79AB5771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DATA_CHALLENGE_50.csv (~600 MB) — 4.67M NC candidate locations</w:t>
      </w:r>
    </w:p>
    <w:p w14:paraId="79AB5772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outputs/ (~200 MB) — pre-computed analysis results</w:t>
      </w:r>
    </w:p>
    <w:p w14:paraId="79AB5773" w14:textId="77777777" w:rsidR="00BB0E5C" w:rsidRDefault="00000000">
      <w:pPr>
        <w:pStyle w:val="ListParagraph"/>
        <w:numPr>
          <w:ilvl w:val="0"/>
          <w:numId w:val="3"/>
        </w:numPr>
        <w:spacing w:after="60"/>
      </w:pPr>
      <w:r>
        <w:t>Demo video (.mp4) — screen recording of full workflow</w:t>
      </w:r>
    </w:p>
    <w:sectPr w:rsidR="00BB0E5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1573" w14:textId="77777777" w:rsidR="006B085B" w:rsidRDefault="006B085B">
      <w:r>
        <w:separator/>
      </w:r>
    </w:p>
  </w:endnote>
  <w:endnote w:type="continuationSeparator" w:id="0">
    <w:p w14:paraId="7FDA61FB" w14:textId="77777777" w:rsidR="006B085B" w:rsidRDefault="006B0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5779" w14:textId="5415A278" w:rsidR="00BB0E5C" w:rsidRDefault="00000000">
    <w:pPr>
      <w:jc w:val="center"/>
    </w:pP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607CCB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43E90" w14:textId="77777777" w:rsidR="006B085B" w:rsidRDefault="006B085B">
      <w:r>
        <w:separator/>
      </w:r>
    </w:p>
  </w:footnote>
  <w:footnote w:type="continuationSeparator" w:id="0">
    <w:p w14:paraId="628EB884" w14:textId="77777777" w:rsidR="006B085B" w:rsidRDefault="006B0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5778" w14:textId="77777777" w:rsidR="00BB0E5C" w:rsidRDefault="00000000">
    <w:pPr>
      <w:jc w:val="right"/>
    </w:pPr>
    <w:r>
      <w:rPr>
        <w:color w:val="7F8C8D"/>
        <w:sz w:val="16"/>
        <w:szCs w:val="16"/>
      </w:rPr>
      <w:t xml:space="preserve">LEO Satellite Site Suitability Engine — </w:t>
    </w:r>
    <w:proofErr w:type="spellStart"/>
    <w:r>
      <w:rPr>
        <w:color w:val="7F8C8D"/>
        <w:sz w:val="16"/>
        <w:szCs w:val="16"/>
      </w:rPr>
      <w:t>ReadyNet</w:t>
    </w:r>
    <w:proofErr w:type="spellEnd"/>
    <w:r>
      <w:rPr>
        <w:color w:val="7F8C8D"/>
        <w:sz w:val="16"/>
        <w:szCs w:val="16"/>
      </w:rPr>
      <w:t xml:space="preserve"> Data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C0D5E"/>
    <w:multiLevelType w:val="hybridMultilevel"/>
    <w:tmpl w:val="06B8148E"/>
    <w:lvl w:ilvl="0" w:tplc="097C47CE">
      <w:start w:val="1"/>
      <w:numFmt w:val="bullet"/>
      <w:lvlText w:val="●"/>
      <w:lvlJc w:val="left"/>
      <w:pPr>
        <w:ind w:left="720" w:hanging="360"/>
      </w:pPr>
    </w:lvl>
    <w:lvl w:ilvl="1" w:tplc="F9EEA526">
      <w:start w:val="1"/>
      <w:numFmt w:val="bullet"/>
      <w:lvlText w:val="○"/>
      <w:lvlJc w:val="left"/>
      <w:pPr>
        <w:ind w:left="1440" w:hanging="360"/>
      </w:pPr>
    </w:lvl>
    <w:lvl w:ilvl="2" w:tplc="2A4E672A">
      <w:start w:val="1"/>
      <w:numFmt w:val="bullet"/>
      <w:lvlText w:val="■"/>
      <w:lvlJc w:val="left"/>
      <w:pPr>
        <w:ind w:left="2160" w:hanging="360"/>
      </w:pPr>
    </w:lvl>
    <w:lvl w:ilvl="3" w:tplc="50961DF0">
      <w:start w:val="1"/>
      <w:numFmt w:val="bullet"/>
      <w:lvlText w:val="●"/>
      <w:lvlJc w:val="left"/>
      <w:pPr>
        <w:ind w:left="2880" w:hanging="360"/>
      </w:pPr>
    </w:lvl>
    <w:lvl w:ilvl="4" w:tplc="ED72EEFA">
      <w:start w:val="1"/>
      <w:numFmt w:val="bullet"/>
      <w:lvlText w:val="○"/>
      <w:lvlJc w:val="left"/>
      <w:pPr>
        <w:ind w:left="3600" w:hanging="360"/>
      </w:pPr>
    </w:lvl>
    <w:lvl w:ilvl="5" w:tplc="A6F47102">
      <w:start w:val="1"/>
      <w:numFmt w:val="bullet"/>
      <w:lvlText w:val="■"/>
      <w:lvlJc w:val="left"/>
      <w:pPr>
        <w:ind w:left="4320" w:hanging="360"/>
      </w:pPr>
    </w:lvl>
    <w:lvl w:ilvl="6" w:tplc="C6CE6C24">
      <w:start w:val="1"/>
      <w:numFmt w:val="bullet"/>
      <w:lvlText w:val="●"/>
      <w:lvlJc w:val="left"/>
      <w:pPr>
        <w:ind w:left="5040" w:hanging="360"/>
      </w:pPr>
    </w:lvl>
    <w:lvl w:ilvl="7" w:tplc="27229156">
      <w:start w:val="1"/>
      <w:numFmt w:val="bullet"/>
      <w:lvlText w:val="●"/>
      <w:lvlJc w:val="left"/>
      <w:pPr>
        <w:ind w:left="5760" w:hanging="360"/>
      </w:pPr>
    </w:lvl>
    <w:lvl w:ilvl="8" w:tplc="F57A00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27CB4"/>
    <w:multiLevelType w:val="hybridMultilevel"/>
    <w:tmpl w:val="B274782A"/>
    <w:lvl w:ilvl="0" w:tplc="5B0A167C">
      <w:start w:val="1"/>
      <w:numFmt w:val="bullet"/>
      <w:lvlText w:val="•"/>
      <w:lvlJc w:val="left"/>
      <w:pPr>
        <w:ind w:left="720" w:hanging="360"/>
      </w:pPr>
    </w:lvl>
    <w:lvl w:ilvl="1" w:tplc="FF5275AE">
      <w:numFmt w:val="decimal"/>
      <w:lvlText w:val=""/>
      <w:lvlJc w:val="left"/>
    </w:lvl>
    <w:lvl w:ilvl="2" w:tplc="0986950E">
      <w:numFmt w:val="decimal"/>
      <w:lvlText w:val=""/>
      <w:lvlJc w:val="left"/>
    </w:lvl>
    <w:lvl w:ilvl="3" w:tplc="CD7A380C">
      <w:numFmt w:val="decimal"/>
      <w:lvlText w:val=""/>
      <w:lvlJc w:val="left"/>
    </w:lvl>
    <w:lvl w:ilvl="4" w:tplc="84927342">
      <w:numFmt w:val="decimal"/>
      <w:lvlText w:val=""/>
      <w:lvlJc w:val="left"/>
    </w:lvl>
    <w:lvl w:ilvl="5" w:tplc="4CEEB3F4">
      <w:numFmt w:val="decimal"/>
      <w:lvlText w:val=""/>
      <w:lvlJc w:val="left"/>
    </w:lvl>
    <w:lvl w:ilvl="6" w:tplc="1A9298B0">
      <w:numFmt w:val="decimal"/>
      <w:lvlText w:val=""/>
      <w:lvlJc w:val="left"/>
    </w:lvl>
    <w:lvl w:ilvl="7" w:tplc="46E05ED0">
      <w:numFmt w:val="decimal"/>
      <w:lvlText w:val=""/>
      <w:lvlJc w:val="left"/>
    </w:lvl>
    <w:lvl w:ilvl="8" w:tplc="E4BEEEBC">
      <w:numFmt w:val="decimal"/>
      <w:lvlText w:val=""/>
      <w:lvlJc w:val="left"/>
    </w:lvl>
  </w:abstractNum>
  <w:abstractNum w:abstractNumId="2" w15:restartNumberingAfterBreak="0">
    <w:nsid w:val="5F2A0D8D"/>
    <w:multiLevelType w:val="hybridMultilevel"/>
    <w:tmpl w:val="03AAEE3A"/>
    <w:lvl w:ilvl="0" w:tplc="D2549806">
      <w:start w:val="1"/>
      <w:numFmt w:val="bullet"/>
      <w:lvlText w:val="–"/>
      <w:lvlJc w:val="left"/>
      <w:pPr>
        <w:ind w:left="1080" w:hanging="360"/>
      </w:pPr>
    </w:lvl>
    <w:lvl w:ilvl="1" w:tplc="BEF43286">
      <w:numFmt w:val="decimal"/>
      <w:lvlText w:val=""/>
      <w:lvlJc w:val="left"/>
    </w:lvl>
    <w:lvl w:ilvl="2" w:tplc="AB1AA3F0">
      <w:numFmt w:val="decimal"/>
      <w:lvlText w:val=""/>
      <w:lvlJc w:val="left"/>
    </w:lvl>
    <w:lvl w:ilvl="3" w:tplc="C5D411BE">
      <w:numFmt w:val="decimal"/>
      <w:lvlText w:val=""/>
      <w:lvlJc w:val="left"/>
    </w:lvl>
    <w:lvl w:ilvl="4" w:tplc="E9F4E89E">
      <w:numFmt w:val="decimal"/>
      <w:lvlText w:val=""/>
      <w:lvlJc w:val="left"/>
    </w:lvl>
    <w:lvl w:ilvl="5" w:tplc="8506A9E4">
      <w:numFmt w:val="decimal"/>
      <w:lvlText w:val=""/>
      <w:lvlJc w:val="left"/>
    </w:lvl>
    <w:lvl w:ilvl="6" w:tplc="17F6BADC">
      <w:numFmt w:val="decimal"/>
      <w:lvlText w:val=""/>
      <w:lvlJc w:val="left"/>
    </w:lvl>
    <w:lvl w:ilvl="7" w:tplc="1200D23E">
      <w:numFmt w:val="decimal"/>
      <w:lvlText w:val=""/>
      <w:lvlJc w:val="left"/>
    </w:lvl>
    <w:lvl w:ilvl="8" w:tplc="27846384">
      <w:numFmt w:val="decimal"/>
      <w:lvlText w:val=""/>
      <w:lvlJc w:val="left"/>
    </w:lvl>
  </w:abstractNum>
  <w:abstractNum w:abstractNumId="3" w15:restartNumberingAfterBreak="0">
    <w:nsid w:val="72087CF0"/>
    <w:multiLevelType w:val="hybridMultilevel"/>
    <w:tmpl w:val="A530B13E"/>
    <w:lvl w:ilvl="0" w:tplc="0F06B118">
      <w:start w:val="1"/>
      <w:numFmt w:val="decimal"/>
      <w:lvlText w:val="%1."/>
      <w:lvlJc w:val="left"/>
      <w:pPr>
        <w:ind w:left="720" w:hanging="360"/>
      </w:pPr>
    </w:lvl>
    <w:lvl w:ilvl="1" w:tplc="88C8E79C">
      <w:numFmt w:val="decimal"/>
      <w:lvlText w:val=""/>
      <w:lvlJc w:val="left"/>
    </w:lvl>
    <w:lvl w:ilvl="2" w:tplc="CB9825EE">
      <w:numFmt w:val="decimal"/>
      <w:lvlText w:val=""/>
      <w:lvlJc w:val="left"/>
    </w:lvl>
    <w:lvl w:ilvl="3" w:tplc="85E892C6">
      <w:numFmt w:val="decimal"/>
      <w:lvlText w:val=""/>
      <w:lvlJc w:val="left"/>
    </w:lvl>
    <w:lvl w:ilvl="4" w:tplc="35EC25CE">
      <w:numFmt w:val="decimal"/>
      <w:lvlText w:val=""/>
      <w:lvlJc w:val="left"/>
    </w:lvl>
    <w:lvl w:ilvl="5" w:tplc="957C3C84">
      <w:numFmt w:val="decimal"/>
      <w:lvlText w:val=""/>
      <w:lvlJc w:val="left"/>
    </w:lvl>
    <w:lvl w:ilvl="6" w:tplc="FFB0C662">
      <w:numFmt w:val="decimal"/>
      <w:lvlText w:val=""/>
      <w:lvlJc w:val="left"/>
    </w:lvl>
    <w:lvl w:ilvl="7" w:tplc="14F0B946">
      <w:numFmt w:val="decimal"/>
      <w:lvlText w:val=""/>
      <w:lvlJc w:val="left"/>
    </w:lvl>
    <w:lvl w:ilvl="8" w:tplc="3014BCF4">
      <w:numFmt w:val="decimal"/>
      <w:lvlText w:val=""/>
      <w:lvlJc w:val="left"/>
    </w:lvl>
  </w:abstractNum>
  <w:num w:numId="1" w16cid:durableId="636957425">
    <w:abstractNumId w:val="0"/>
    <w:lvlOverride w:ilvl="0">
      <w:startOverride w:val="1"/>
    </w:lvlOverride>
  </w:num>
  <w:num w:numId="2" w16cid:durableId="514030947">
    <w:abstractNumId w:val="3"/>
    <w:lvlOverride w:ilvl="0">
      <w:startOverride w:val="1"/>
    </w:lvlOverride>
  </w:num>
  <w:num w:numId="3" w16cid:durableId="224337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E5C"/>
    <w:rsid w:val="00607CCB"/>
    <w:rsid w:val="006B085B"/>
    <w:rsid w:val="00A00A6B"/>
    <w:rsid w:val="00BB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B56C9"/>
  <w15:docId w15:val="{5C3D07B1-1F0B-4E49-AD2D-F15E595C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2C3E5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1371</Words>
  <Characters>8478</Characters>
  <Application>Microsoft Office Word</Application>
  <DocSecurity>0</DocSecurity>
  <Lines>206</Lines>
  <Paragraphs>158</Paragraphs>
  <ScaleCrop>false</ScaleCrop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Xihan Yao</cp:lastModifiedBy>
  <cp:revision>2</cp:revision>
  <dcterms:created xsi:type="dcterms:W3CDTF">2026-03-27T04:08:00Z</dcterms:created>
  <dcterms:modified xsi:type="dcterms:W3CDTF">2026-03-27T04:13:00Z</dcterms:modified>
</cp:coreProperties>
</file>