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5C"/>
          <w:sz w:val="56"/>
        </w:rPr>
        <w:t>LEO Satellite Site Suitability Engine</w:t>
      </w:r>
    </w:p>
    <w:p>
      <w:pPr>
        <w:jc w:val="center"/>
      </w:pPr>
      <w:r>
        <w:rPr>
          <w:color w:val="4A6A8C"/>
          <w:sz w:val="36"/>
        </w:rPr>
        <w:t>Technical Deep Dive</w:t>
      </w:r>
    </w:p>
    <w:p/>
    <w:p>
      <w:pPr>
        <w:jc w:val="center"/>
      </w:pPr>
      <w:r>
        <w:rPr>
          <w:sz w:val="24"/>
        </w:rPr>
        <w:t>ReadyNet Data Challenge Submission</w:t>
        <w:br/>
      </w:r>
      <w:r>
        <w:rPr>
          <w:sz w:val="24"/>
        </w:rPr>
        <w:t>Xihan Yao</w:t>
        <w:br/>
      </w:r>
      <w:r>
        <w:rPr>
          <w:sz w:val="24"/>
        </w:rPr>
        <w:t>March 2026</w:t>
      </w:r>
    </w:p>
    <w:p/>
    <w:p>
      <w:pPr>
        <w:jc w:val="center"/>
      </w:pPr>
      <w:r>
        <w:rPr>
          <w:sz w:val="20"/>
        </w:rPr>
        <w:t xml:space="preserve">GitHub: </w:t>
      </w:r>
      <w:r>
        <w:rPr>
          <w:color w:val="2563EB"/>
          <w:sz w:val="20"/>
        </w:rPr>
        <w:t>github.com/xyaoaf/leo-risk-analysis</w:t>
      </w:r>
      <w:r>
        <w:rPr>
          <w:sz w:val="20"/>
        </w:rPr>
        <w:br/>
        <w:t xml:space="preserve">Video Demo: </w:t>
      </w:r>
      <w:r>
        <w:rPr>
          <w:color w:val="2563EB"/>
          <w:sz w:val="20"/>
        </w:rPr>
        <w:t>Google Drive Link</w:t>
      </w:r>
    </w:p>
    <w:p>
      <w:r>
        <w:br w:type="page"/>
      </w:r>
    </w:p>
    <w:p>
      <w:pPr>
        <w:pStyle w:val="Heading1"/>
      </w:pPr>
      <w:r>
        <w:rPr>
          <w:color w:val="1A3A5C"/>
        </w:rPr>
        <w:t>Table of Contents</w:t>
      </w:r>
    </w:p>
    <w:p>
      <w:pPr>
        <w:spacing w:after="40" w:before="40"/>
      </w:pPr>
      <w:r>
        <w:t>1. Executive Summary</w:t>
      </w:r>
    </w:p>
    <w:p>
      <w:pPr>
        <w:spacing w:after="40" w:before="40"/>
      </w:pPr>
      <w:r>
        <w:t>2. System Architecture</w:t>
      </w:r>
    </w:p>
    <w:p>
      <w:pPr>
        <w:spacing w:after="40" w:before="40"/>
      </w:pPr>
      <w:r>
        <w:t>3. Geospatial Data Sources</w:t>
      </w:r>
    </w:p>
    <w:p>
      <w:pPr>
        <w:spacing w:after="40" w:before="40"/>
      </w:pPr>
      <w:r>
        <w:t>4. Ray-Casting Engine</w:t>
      </w:r>
    </w:p>
    <w:p>
      <w:pPr>
        <w:spacing w:after="40" w:before="40"/>
      </w:pPr>
      <w:r>
        <w:t>5. Risk Scoring Formula</w:t>
      </w:r>
    </w:p>
    <w:p>
      <w:pPr>
        <w:spacing w:after="40" w:before="40"/>
      </w:pPr>
      <w:r>
        <w:t>6. Feasibility Constraints</w:t>
      </w:r>
    </w:p>
    <w:p>
      <w:pPr>
        <w:spacing w:after="40" w:before="40"/>
      </w:pPr>
      <w:r>
        <w:t>7. Local Search Algorithm</w:t>
      </w:r>
    </w:p>
    <w:p>
      <w:pPr>
        <w:spacing w:after="40" w:before="40"/>
      </w:pPr>
      <w:r>
        <w:t>8. Interactive Web Application</w:t>
      </w:r>
    </w:p>
    <w:p>
      <w:pPr>
        <w:spacing w:after="40" w:before="40"/>
      </w:pPr>
      <w:r>
        <w:t>9. Batch Processing &amp; Scalability</w:t>
      </w:r>
    </w:p>
    <w:p>
      <w:pPr>
        <w:spacing w:after="40" w:before="40"/>
      </w:pPr>
      <w:r>
        <w:t>10. Results Summary</w:t>
      </w:r>
    </w:p>
    <w:p>
      <w:pPr>
        <w:spacing w:after="40" w:before="40"/>
      </w:pPr>
      <w:r>
        <w:t>11. Known Limitations &amp; Future Work</w:t>
      </w:r>
    </w:p>
    <w:p>
      <w:pPr>
        <w:spacing w:after="40" w:before="40"/>
      </w:pPr>
      <w:r>
        <w:t>12. Reproducibility</w:t>
      </w:r>
    </w:p>
    <w:p>
      <w:r>
        <w:br w:type="page"/>
      </w:r>
    </w:p>
    <w:p>
      <w:pPr>
        <w:pStyle w:val="Heading1"/>
      </w:pPr>
      <w:r>
        <w:rPr>
          <w:color w:val="1A3A5C"/>
        </w:rPr>
        <w:t>1. Executive Summary</w:t>
      </w:r>
    </w:p>
    <w:p>
      <w:r>
        <w:t>ReadyNet is evaluating the deployment of Starlink satellite internet service across North Carolina, covering approximately 4.67 million candidate installation sites. Each site must be assessed for terrain obstructions (ridges, hills), vegetation interference (tree canopy), and building blockage that could degrade or prevent satellite signal reception. Manual site surveys at this scale are economically infeasible.</w:t>
      </w:r>
    </w:p>
    <w:p>
      <w:r>
        <w:t>This system is a fully automated geospatial pipeline that fuses three remote sensing data sources—USGS terrain elevation, Meta canopy height, and Microsoft building footprints—into a unified obstruction surface. A vectorized ray-casting engine computes horizon profiles across 72 azimuth directions, and a deterministic 0–100 risk score quantifies installation feasibility. When a location fails, the system automatically searches nearby (~50m) for better alternatives.</w:t>
      </w:r>
    </w:p>
    <w:p>
      <w:r>
        <w:rPr>
          <w:b/>
        </w:rPr>
        <w:t>Key Capabilities:</w:t>
      </w:r>
    </w:p>
    <w:p>
      <w:pPr>
        <w:pStyle w:val="ListBullet"/>
      </w:pPr>
      <w:r>
        <w:rPr>
          <w:b/>
        </w:rPr>
        <w:t xml:space="preserve">Five output layers: </w:t>
      </w:r>
      <w:r>
        <w:t>Single-point diagnostic</w:t>
      </w:r>
    </w:p>
    <w:p>
      <w:pPr>
        <w:pStyle w:val="ListBullet"/>
      </w:pPr>
      <w:r>
        <w:t xml:space="preserve"> with full 5-panel PNG report, batch processing across all 100 NC counties, interactive web map with on-demand compute, area-of-interest analysis, and zonal aggregation at county and census block group levels.</w:t>
      </w:r>
    </w:p>
    <w:p>
      <w:pPr>
        <w:pStyle w:val="ListBullet"/>
      </w:pPr>
      <w:r>
        <w:rPr>
          <w:b/>
        </w:rPr>
        <w:t xml:space="preserve">Multi-scale visualization: </w:t>
      </w:r>
      <w:r>
        <w:t>County → block group → individual address dots, with viewport-based loading to handle 4.67M points without loading them all at once.</w:t>
      </w:r>
    </w:p>
    <w:p>
      <w:pPr>
        <w:pStyle w:val="ListBullet"/>
      </w:pPr>
      <w:r>
        <w:rPr>
          <w:b/>
        </w:rPr>
        <w:t xml:space="preserve">Claude-orchestrated agent interface: </w:t>
      </w:r>
      <w:r>
        <w:t>Claude (claude-opus-4-6) handles intent parsing and report generation; all geospatial computation is deterministic Python with zero LLM dependency in the scoring loop.</w:t>
      </w:r>
    </w:p>
    <w:p>
      <w:r>
        <w:br w:type="page"/>
      </w:r>
    </w:p>
    <w:p>
      <w:pPr>
        <w:pStyle w:val="Heading1"/>
      </w:pPr>
      <w:r>
        <w:rPr>
          <w:color w:val="1A3A5C"/>
        </w:rPr>
        <w:t>2. System Architecture</w:t>
      </w:r>
    </w:p>
    <w:p>
      <w:pPr>
        <w:pStyle w:val="Heading2"/>
      </w:pPr>
      <w:r>
        <w:rPr>
          <w:color w:val="1A3A5C"/>
        </w:rPr>
        <w:t>Three-Layer Design</w:t>
      </w:r>
    </w:p>
    <w:p>
      <w:r>
        <w:t>The system separates concerns into three distinct layers, each with a clear responsibility boundary:</w:t>
      </w:r>
    </w:p>
    <w:p>
      <w:r>
        <w:rPr>
          <w:b/>
        </w:rPr>
        <w:t>Agent Layer (Claude claude-opus-4-6)</w:t>
      </w:r>
      <w:r>
        <w:t xml:space="preserve"> — Handles only natural language intent parsing, tool selection, and report synthesis. Claude never computes risk scores, evaluates constraints, or makes geospatial calculations. It calls three tools: analyze_location, find_better_nearby, and batch_analyze.</w:t>
      </w:r>
    </w:p>
    <w:p>
      <w:r>
        <w:rPr>
          <w:b/>
        </w:rPr>
        <w:t>Feasibility + Orchestration Layer (feasibility.py)</w:t>
      </w:r>
      <w:r>
        <w:t xml:space="preserve"> — Coordinates the full pipeline: fetches terrain/canopy/building data, builds the obstruction surface, runs horizon ray-casting, evaluates six hard constraints, triggers local search when needed, and assembles the structured JSON result.</w:t>
      </w:r>
    </w:p>
    <w:p>
      <w:r>
        <w:rPr>
          <w:b/>
        </w:rPr>
        <w:t>Scoring Layer (scoring.py)</w:t>
      </w:r>
      <w:r>
        <w:t xml:space="preserve"> — A pure, deterministic function. Takes an obstruction classification dict, returns a 0–100 risk score with three decomposed components. No external dependencies, no ML, no randomness. Same inputs always produce the same output.</w:t>
      </w:r>
    </w:p>
    <w:p>
      <w:pPr>
        <w:pStyle w:val="Heading2"/>
      </w:pPr>
      <w:r>
        <w:rPr>
          <w:color w:val="1A3A5C"/>
        </w:rPr>
        <w:t>Data Flow</w:t>
      </w:r>
    </w:p>
    <w:p>
      <w:r>
        <w:t>User query → Claude parses intent → selects appropriate tool → geospatial pipeline fetches remote sensing data → builds unified obstruction surface → ray-casts 72 azimuths → classifies obstructions → scores risk → evaluates constraints → structured JSON result → Claude synthesizes natural language report → user response.</w:t>
      </w:r>
    </w:p>
    <w:p>
      <w:pPr>
        <w:pStyle w:val="Heading2"/>
      </w:pPr>
      <w:r>
        <w:rPr>
          <w:color w:val="1A3A5C"/>
        </w:rPr>
        <w:t>Critical Design Decision: No LLM in the Scoring Loop</w:t>
      </w:r>
    </w:p>
    <w:p>
      <w:r>
        <w:t>At 1 million locations, per-location LLM calls would cost $500–2,000 in API fees and take hours of wall-clock time. The results would be non-reproducible (LLM outputs vary between calls) and non-explainable (no formula to audit). A deterministic Python formula runs in milliseconds per location, is fully reproducible, and every score can be decomposed into its three components for human review. Claude adds value at the interface layer—understanding natural language queries and generating readable reports—not in the computation loop.</w:t>
      </w:r>
    </w:p>
    <w:p>
      <w:r>
        <w:br w:type="page"/>
      </w:r>
    </w:p>
    <w:p>
      <w:pPr>
        <w:pStyle w:val="Heading1"/>
      </w:pPr>
      <w:r>
        <w:rPr>
          <w:color w:val="1A3A5C"/>
        </w:rPr>
        <w:t>3. Geospatial Data Sources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tcPr>
          <w:p>
            <w:r>
              <w:rPr>
                <w:b/>
                <w:sz w:val="20"/>
              </w:rPr>
              <w:t>Data Source</w:t>
            </w:r>
          </w:p>
        </w:tc>
        <w:tc>
          <w:tcPr>
            <w:tcW w:type="dxa" w:w="2160"/>
          </w:tcPr>
          <w:p>
            <w:r>
              <w:rPr>
                <w:b/>
                <w:sz w:val="20"/>
              </w:rPr>
              <w:t>Provider</w:t>
            </w:r>
          </w:p>
        </w:tc>
        <w:tc>
          <w:tcPr>
            <w:tcW w:type="dxa" w:w="2160"/>
          </w:tcPr>
          <w:p>
            <w:r>
              <w:rPr>
                <w:b/>
                <w:sz w:val="20"/>
              </w:rPr>
              <w:t>Resolution</w:t>
            </w:r>
          </w:p>
        </w:tc>
        <w:tc>
          <w:tcPr>
            <w:tcW w:type="dxa" w:w="1152"/>
          </w:tcPr>
          <w:p>
            <w:r>
              <w:rPr>
                <w:b/>
                <w:sz w:val="20"/>
              </w:rPr>
              <w:t>Coverage</w:t>
            </w:r>
          </w:p>
        </w:tc>
        <w:tc>
          <w:tcPr>
            <w:tcW w:type="dxa" w:w="2160"/>
          </w:tcPr>
          <w:p>
            <w:r>
              <w:rPr>
                <w:b/>
                <w:sz w:val="20"/>
              </w:rPr>
              <w:t>Fallback</w:t>
            </w:r>
          </w:p>
        </w:tc>
      </w:tr>
      <w:tr>
        <w:tc>
          <w:tcPr>
            <w:tcW w:type="dxa" w:w="1728"/>
          </w:tcPr>
          <w:p>
            <w:r>
              <w:rPr>
                <w:sz w:val="20"/>
              </w:rPr>
              <w:t>Terrain (DEM)</w:t>
            </w:r>
          </w:p>
        </w:tc>
        <w:tc>
          <w:tcPr>
            <w:tcW w:type="dxa" w:w="2160"/>
          </w:tcPr>
          <w:p>
            <w:r>
              <w:rPr>
                <w:sz w:val="20"/>
              </w:rPr>
              <w:t>USGS 3DEP via py3dep WMS</w:t>
            </w:r>
          </w:p>
        </w:tc>
        <w:tc>
          <w:tcPr>
            <w:tcW w:type="dxa" w:w="2160"/>
          </w:tcPr>
          <w:p>
            <w:r>
              <w:rPr>
                <w:sz w:val="20"/>
              </w:rPr>
              <w:t>1m → 3m → 10m → 30m ladder</w:t>
            </w:r>
          </w:p>
        </w:tc>
        <w:tc>
          <w:tcPr>
            <w:tcW w:type="dxa" w:w="1152"/>
          </w:tcPr>
          <w:p>
            <w:r>
              <w:rPr>
                <w:sz w:val="20"/>
              </w:rPr>
              <w:t>CONUS</w:t>
            </w:r>
          </w:p>
        </w:tc>
        <w:tc>
          <w:tcPr>
            <w:tcW w:type="dxa" w:w="2160"/>
          </w:tcPr>
          <w:p>
            <w:r>
              <w:rPr>
                <w:sz w:val="20"/>
              </w:rPr>
              <w:t>Resolution downgrade on timeout</w:t>
            </w:r>
          </w:p>
        </w:tc>
      </w:tr>
      <w:tr>
        <w:tc>
          <w:tcPr>
            <w:tcW w:type="dxa" w:w="1728"/>
          </w:tcPr>
          <w:p>
            <w:r>
              <w:rPr>
                <w:sz w:val="20"/>
              </w:rPr>
              <w:t>Canopy Height</w:t>
            </w:r>
          </w:p>
        </w:tc>
        <w:tc>
          <w:tcPr>
            <w:tcW w:type="dxa" w:w="2160"/>
          </w:tcPr>
          <w:p>
            <w:r>
              <w:rPr>
                <w:sz w:val="20"/>
              </w:rPr>
              <w:t>Meta Global Canopy (Tolan et al. 2024)</w:t>
            </w:r>
          </w:p>
        </w:tc>
        <w:tc>
          <w:tcPr>
            <w:tcW w:type="dxa" w:w="2160"/>
          </w:tcPr>
          <w:p>
            <w:r>
              <w:rPr>
                <w:sz w:val="20"/>
              </w:rPr>
              <w:t>1m via GEE computePixels()</w:t>
            </w:r>
          </w:p>
        </w:tc>
        <w:tc>
          <w:tcPr>
            <w:tcW w:type="dxa" w:w="1152"/>
          </w:tcPr>
          <w:p>
            <w:r>
              <w:rPr>
                <w:sz w:val="20"/>
              </w:rPr>
              <w:t>Global</w:t>
            </w:r>
          </w:p>
        </w:tc>
        <w:tc>
          <w:tcPr>
            <w:tcW w:type="dxa" w:w="2160"/>
          </w:tcPr>
          <w:p>
            <w:r>
              <w:rPr>
                <w:sz w:val="20"/>
              </w:rPr>
              <w:t>27m S3 COG (GEDI-averaged)</w:t>
            </w:r>
          </w:p>
        </w:tc>
      </w:tr>
      <w:tr>
        <w:tc>
          <w:tcPr>
            <w:tcW w:type="dxa" w:w="1728"/>
          </w:tcPr>
          <w:p>
            <w:r>
              <w:rPr>
                <w:sz w:val="20"/>
              </w:rPr>
              <w:t>Building Footprints</w:t>
            </w:r>
          </w:p>
        </w:tc>
        <w:tc>
          <w:tcPr>
            <w:tcW w:type="dxa" w:w="2160"/>
          </w:tcPr>
          <w:p>
            <w:r>
              <w:rPr>
                <w:sz w:val="20"/>
              </w:rPr>
              <w:t>Microsoft ML Footprints</w:t>
            </w:r>
          </w:p>
        </w:tc>
        <w:tc>
          <w:tcPr>
            <w:tcW w:type="dxa" w:w="2160"/>
          </w:tcPr>
          <w:p>
            <w:r>
              <w:rPr>
                <w:sz w:val="20"/>
              </w:rPr>
              <w:t>Vector polygons + ML heights</w:t>
            </w:r>
          </w:p>
        </w:tc>
        <w:tc>
          <w:tcPr>
            <w:tcW w:type="dxa" w:w="1152"/>
          </w:tcPr>
          <w:p>
            <w:r>
              <w:rPr>
                <w:sz w:val="20"/>
              </w:rPr>
              <w:t>Full CONUS</w:t>
            </w:r>
          </w:p>
        </w:tc>
        <w:tc>
          <w:tcPr>
            <w:tcW w:type="dxa" w:w="2160"/>
          </w:tcPr>
          <w:p>
            <w:r>
              <w:rPr>
                <w:sz w:val="20"/>
              </w:rPr>
              <w:t>Google Open Buildings</w:t>
            </w:r>
          </w:p>
        </w:tc>
      </w:tr>
    </w:tbl>
    <w:p/>
    <w:p>
      <w:pPr>
        <w:pStyle w:val="Heading2"/>
      </w:pPr>
      <w:r>
        <w:rPr>
          <w:color w:val="1A3A5C"/>
        </w:rPr>
        <w:t>Design Decision Rationale</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r>
              <w:rPr>
                <w:b/>
                <w:sz w:val="20"/>
              </w:rPr>
              <w:t>Decision</w:t>
            </w:r>
          </w:p>
        </w:tc>
        <w:tc>
          <w:tcPr>
            <w:tcW w:type="dxa" w:w="2592"/>
          </w:tcPr>
          <w:p>
            <w:r>
              <w:rPr>
                <w:b/>
                <w:sz w:val="20"/>
              </w:rPr>
              <w:t>Choice</w:t>
            </w:r>
          </w:p>
        </w:tc>
        <w:tc>
          <w:tcPr>
            <w:tcW w:type="dxa" w:w="5040"/>
          </w:tcPr>
          <w:p>
            <w:r>
              <w:rPr>
                <w:b/>
                <w:sz w:val="20"/>
              </w:rPr>
              <w:t>Reason</w:t>
            </w:r>
          </w:p>
        </w:tc>
      </w:tr>
      <w:tr>
        <w:tc>
          <w:tcPr>
            <w:tcW w:type="dxa" w:w="1728"/>
          </w:tcPr>
          <w:p>
            <w:r>
              <w:rPr>
                <w:sz w:val="20"/>
              </w:rPr>
              <w:t>Terrain radius</w:t>
            </w:r>
          </w:p>
        </w:tc>
        <w:tc>
          <w:tcPr>
            <w:tcW w:type="dxa" w:w="2592"/>
          </w:tcPr>
          <w:p>
            <w:r>
              <w:rPr>
                <w:sz w:val="20"/>
              </w:rPr>
              <w:t>1,500m far-field + 100m near-field</w:t>
            </w:r>
          </w:p>
        </w:tc>
        <w:tc>
          <w:tcPr>
            <w:tcW w:type="dxa" w:w="5040"/>
          </w:tcPr>
          <w:p>
            <w:r>
              <w:rPr>
                <w:sz w:val="20"/>
              </w:rPr>
              <w:t>Ridges at 500–2,000m create ~1° horizon rise; canopy/building effects fade beyond 100m</w:t>
            </w:r>
          </w:p>
        </w:tc>
      </w:tr>
      <w:tr>
        <w:tc>
          <w:tcPr>
            <w:tcW w:type="dxa" w:w="1728"/>
          </w:tcPr>
          <w:p>
            <w:r>
              <w:rPr>
                <w:sz w:val="20"/>
              </w:rPr>
              <w:t>Canopy resolution</w:t>
            </w:r>
          </w:p>
        </w:tc>
        <w:tc>
          <w:tcPr>
            <w:tcW w:type="dxa" w:w="2592"/>
          </w:tcPr>
          <w:p>
            <w:r>
              <w:rPr>
                <w:sz w:val="20"/>
              </w:rPr>
              <w:t>1m GEE primary, 27m fallback</w:t>
            </w:r>
          </w:p>
        </w:tc>
        <w:tc>
          <w:tcPr>
            <w:tcW w:type="dxa" w:w="5040"/>
          </w:tcPr>
          <w:p>
            <w:r>
              <w:rPr>
                <w:sz w:val="20"/>
              </w:rPr>
              <w:t>1m detects individual tree crowns (~0.2s/call); 27m averages entire 30m GEDI footprint</w:t>
            </w:r>
          </w:p>
        </w:tc>
      </w:tr>
      <w:tr>
        <w:tc>
          <w:tcPr>
            <w:tcW w:type="dxa" w:w="1728"/>
          </w:tcPr>
          <w:p>
            <w:r>
              <w:rPr>
                <w:sz w:val="20"/>
              </w:rPr>
              <w:t>Building source</w:t>
            </w:r>
          </w:p>
        </w:tc>
        <w:tc>
          <w:tcPr>
            <w:tcW w:type="dxa" w:w="2592"/>
          </w:tcPr>
          <w:p>
            <w:r>
              <w:rPr>
                <w:sz w:val="20"/>
              </w:rPr>
              <w:t>Microsoft &gt; Google</w:t>
            </w:r>
          </w:p>
        </w:tc>
        <w:tc>
          <w:tcPr>
            <w:tcW w:type="dxa" w:w="5040"/>
          </w:tcPr>
          <w:p>
            <w:r>
              <w:rPr>
                <w:sz w:val="20"/>
              </w:rPr>
              <w:t>Google S2 tile for central TX returned 0 urban buildings. Swapped after empirical testing.</w:t>
            </w:r>
          </w:p>
        </w:tc>
      </w:tr>
      <w:tr>
        <w:tc>
          <w:tcPr>
            <w:tcW w:type="dxa" w:w="1728"/>
          </w:tcPr>
          <w:p>
            <w:r>
              <w:rPr>
                <w:sz w:val="20"/>
              </w:rPr>
              <w:t>Starlink FOV</w:t>
            </w:r>
          </w:p>
        </w:tc>
        <w:tc>
          <w:tcPr>
            <w:tcW w:type="dxa" w:w="2592"/>
          </w:tcPr>
          <w:p>
            <w:r>
              <w:rPr>
                <w:sz w:val="20"/>
              </w:rPr>
              <w:t>100° (±50° around North)</w:t>
            </w:r>
          </w:p>
        </w:tc>
        <w:tc>
          <w:tcPr>
            <w:tcW w:type="dxa" w:w="5040"/>
          </w:tcPr>
          <w:p>
            <w:r>
              <w:rPr>
                <w:sz w:val="20"/>
              </w:rPr>
              <w:t>Gen2/Gen3 at 53°/43° inclination concentrate satellites northward for US locations</w:t>
            </w:r>
          </w:p>
        </w:tc>
      </w:tr>
      <w:tr>
        <w:tc>
          <w:tcPr>
            <w:tcW w:type="dxa" w:w="1728"/>
          </w:tcPr>
          <w:p>
            <w:r>
              <w:rPr>
                <w:sz w:val="20"/>
              </w:rPr>
              <w:t>Dish height</w:t>
            </w:r>
          </w:p>
        </w:tc>
        <w:tc>
          <w:tcPr>
            <w:tcW w:type="dxa" w:w="2592"/>
          </w:tcPr>
          <w:p>
            <w:r>
              <w:rPr>
                <w:sz w:val="20"/>
              </w:rPr>
              <w:t>3m above ground</w:t>
            </w:r>
          </w:p>
        </w:tc>
        <w:tc>
          <w:tcPr>
            <w:tcW w:type="dxa" w:w="5040"/>
          </w:tcPr>
          <w:p>
            <w:r>
              <w:rPr>
                <w:sz w:val="20"/>
              </w:rPr>
              <w:t>Standard residential mount height; accounts for rooftop/pole installations</w:t>
            </w:r>
          </w:p>
        </w:tc>
      </w:tr>
    </w:tbl>
    <w:p/>
    <w:p>
      <w:pPr>
        <w:pStyle w:val="Heading2"/>
      </w:pPr>
      <w:r>
        <w:rPr>
          <w:color w:val="1A3A5C"/>
        </w:rPr>
        <w:t>Canopy Data: Why GEE 1m Over S3 27m</w:t>
      </w:r>
    </w:p>
    <w:p>
      <w:r>
        <w:t>The 27m S3 product (Meta ALSGEDI) averages GEDI LiDAR footprints to 27m pixels. A single pixel covers ~729m²—larger than most residential lots. It cannot distinguish whether a 15m canopy value means "dense forest everywhere" or "one tall tree surrounded by open lawn." The 1m GEE product (Tolan et al. 2024, Remote Sensing of Environment) uses satellite imagery to predict canopy height at 1m resolution, detecting individual tree crowns. For determining whether a Starlink dish has a clear line of sight, this resolution difference is decisive.</w:t>
      </w:r>
    </w:p>
    <w:p>
      <w:r>
        <w:br w:type="page"/>
      </w:r>
    </w:p>
    <w:p>
      <w:pPr>
        <w:pStyle w:val="Heading1"/>
      </w:pPr>
      <w:r>
        <w:rPr>
          <w:color w:val="1A3A5C"/>
        </w:rPr>
        <w:t>4. Ray-Casting Engine</w:t>
      </w:r>
    </w:p>
    <w:p>
      <w:pPr>
        <w:pStyle w:val="Heading2"/>
      </w:pPr>
      <w:r>
        <w:rPr>
          <w:color w:val="1A3A5C"/>
        </w:rPr>
        <w:t>Algorithm</w:t>
      </w:r>
    </w:p>
    <w:p>
      <w:r>
        <w:t>For each of 72 azimuth directions (5° steps from 0° to 355°), the engine casts a radial ray outward from the dish position and records the maximum elevation angle to any obstruction along that ray:</w:t>
      </w:r>
    </w:p>
    <w:p>
      <w:pPr>
        <w:jc w:val="center"/>
      </w:pPr>
      <w:r>
        <w:rPr>
          <w:i/>
          <w:sz w:val="24"/>
        </w:rPr>
        <w:t>elev_angle(d) = arctan2( surface[d] − h_dish, d_meters )</w:t>
      </w:r>
    </w:p>
    <w:p>
      <w:pPr>
        <w:pStyle w:val="Heading2"/>
      </w:pPr>
      <w:r>
        <w:rPr>
          <w:color w:val="1A3A5C"/>
        </w:rPr>
        <w:t>Three Horizon Profiles</w:t>
      </w:r>
    </w:p>
    <w:p>
      <w:r>
        <w:t>The engine computes three separate profiles to enable obstruction classification:</w:t>
      </w:r>
    </w:p>
    <w:p>
      <w:pPr>
        <w:pStyle w:val="ListBullet"/>
      </w:pPr>
      <w:r>
        <w:rPr>
          <w:b/>
        </w:rPr>
        <w:t xml:space="preserve">Terrain-only: </w:t>
      </w:r>
      <w:r>
        <w:t>Uses far-field DEM only (1,500m radius). Captures ridges, hills, and mountains.</w:t>
      </w:r>
    </w:p>
    <w:p>
      <w:pPr>
        <w:pStyle w:val="ListBullet"/>
      </w:pPr>
      <w:r>
        <w:rPr>
          <w:b/>
        </w:rPr>
        <w:t xml:space="preserve">Canopy + terrain: </w:t>
      </w:r>
      <w:r>
        <w:t>Uses near-field terrain + canopy raster (100m radius). Adds vegetation obstruction.</w:t>
      </w:r>
    </w:p>
    <w:p>
      <w:pPr>
        <w:pStyle w:val="ListBullet"/>
      </w:pPr>
      <w:r>
        <w:rPr>
          <w:b/>
        </w:rPr>
        <w:t xml:space="preserve">Full surface: </w:t>
      </w:r>
      <w:r>
        <w:t>Uses near-field terrain + canopy + rasterized buildings (100m radius). Complete picture.</w:t>
      </w:r>
    </w:p>
    <w:p>
      <w:r>
        <w:t>By comparing profiles: if terrain-only exceeds the 25° threshold → terrain blockage. If canopy+terrain exceeds but terrain-only does not → vegetation blockage. If full surface exceeds but canopy+terrain does not → building blockage. This layered approach enables per-azimuth obstruction type classification without additional data processing.</w:t>
      </w:r>
    </w:p>
    <w:p>
      <w:pPr>
        <w:pStyle w:val="Heading2"/>
      </w:pPr>
      <w:r>
        <w:rPr>
          <w:color w:val="1A3A5C"/>
        </w:rPr>
        <w:t>Vectorized Implementation</w:t>
      </w:r>
    </w:p>
    <w:p>
      <w:r>
        <w:t>All 72 azimuths × K radial steps are computed in a single NumPy broadcast operation. Azimuth directions are mapped to (row, col) offsets using trigonometry, then bilinear interpolation samples the surface grid at each step. The max elevation angle per azimuth is reduced with np.maximum.accumulate. This vectorized approach is approximately 50× faster than the equivalent nested Python loop, processing a typical location in ~10ms for the ray-casting step alone.</w:t>
      </w:r>
    </w:p>
    <w:p>
      <w:r>
        <w:br w:type="page"/>
      </w:r>
    </w:p>
    <w:p>
      <w:pPr>
        <w:pStyle w:val="Heading1"/>
      </w:pPr>
      <w:r>
        <w:rPr>
          <w:color w:val="1A3A5C"/>
        </w:rPr>
        <w:t>5. Risk Scoring Formula</w:t>
      </w:r>
    </w:p>
    <w:p>
      <w:r>
        <w:t>The risk score is a deterministic 0–100 value composed of three independent, additive components:</w:t>
      </w:r>
    </w:p>
    <w:p>
      <w:pPr>
        <w:pStyle w:val="Heading2"/>
      </w:pPr>
      <w:r>
        <w:rPr>
          <w:color w:val="1A3A5C"/>
        </w:rPr>
        <w:t>Component 1: FOV Blockage (0–50 points)</w:t>
      </w:r>
    </w:p>
    <w:p>
      <w:r>
        <w:t>Fraction of the Starlink northward FOV (~100° arc) where any obstruction exceeds the 25° elevation threshold. Linear mapping: 100% blocked = 50 points. This is the primary driver of risk—it measures how much of the satellite-visible sky is obstructed.</w:t>
      </w:r>
    </w:p>
    <w:p>
      <w:pPr>
        <w:pStyle w:val="Heading2"/>
      </w:pPr>
      <w:r>
        <w:rPr>
          <w:color w:val="1A3A5C"/>
        </w:rPr>
        <w:t>Component 2: Angle Severity (0–30 points)</w:t>
      </w:r>
    </w:p>
    <w:p>
      <w:r>
        <w:t>How far above the 25° threshold the worst obstruction reaches. At exactly 25° → 0 points; at 90° (vertical wall) → 30 points. This distinguishes between a marginal tree-tip clip (low severity) and a solid cliff face (high severity) that both register as "blocked."</w:t>
      </w:r>
    </w:p>
    <w:p>
      <w:pPr>
        <w:pStyle w:val="Heading2"/>
      </w:pPr>
      <w:r>
        <w:rPr>
          <w:color w:val="1A3A5C"/>
        </w:rPr>
        <w:t>Component 3: Permanence Penalty (0–20 points)</w:t>
      </w:r>
    </w:p>
    <w:p>
      <w:r>
        <w:t>Buildings and terrain are permanent, year-round obstacles (factor = 1.0). Vegetation is seasonal—deciduous trees lose leaves in winter, reducing blockage (default factor = 0.6). The factor is adjustable by evergreen fraction: 0.35 for fully deciduous → 0.90 for fully coniferous. Scaled by blockage fraction so "vegetation with 0% blockage" still scores 0.</w:t>
      </w:r>
    </w:p>
    <w:p>
      <w:pPr>
        <w:pStyle w:val="Heading2"/>
      </w:pPr>
      <w:r>
        <w:rPr>
          <w:color w:val="1A3A5C"/>
        </w:rPr>
        <w:t>Risk Tiers</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tcPr>
          <w:p>
            <w:r>
              <w:rPr>
                <w:b/>
                <w:sz w:val="20"/>
              </w:rPr>
              <w:t>Score Range</w:t>
            </w:r>
          </w:p>
        </w:tc>
        <w:tc>
          <w:tcPr>
            <w:tcW w:type="dxa" w:w="1728"/>
          </w:tcPr>
          <w:p>
            <w:r>
              <w:rPr>
                <w:b/>
                <w:sz w:val="20"/>
              </w:rPr>
              <w:t>Tier</w:t>
            </w:r>
          </w:p>
        </w:tc>
        <w:tc>
          <w:tcPr>
            <w:tcW w:type="dxa" w:w="5760"/>
          </w:tcPr>
          <w:p>
            <w:r>
              <w:rPr>
                <w:b/>
                <w:sz w:val="20"/>
              </w:rPr>
              <w:t>Interpretation</w:t>
            </w:r>
          </w:p>
        </w:tc>
      </w:tr>
      <w:tr>
        <w:tc>
          <w:tcPr>
            <w:tcW w:type="dxa" w:w="1728"/>
          </w:tcPr>
          <w:p>
            <w:r>
              <w:rPr>
                <w:sz w:val="20"/>
              </w:rPr>
              <w:t>0–19</w:t>
            </w:r>
          </w:p>
        </w:tc>
        <w:tc>
          <w:tcPr>
            <w:tcW w:type="dxa" w:w="1728"/>
          </w:tcPr>
          <w:p>
            <w:r>
              <w:rPr>
                <w:sz w:val="20"/>
              </w:rPr>
              <w:t>Low</w:t>
            </w:r>
          </w:p>
        </w:tc>
        <w:tc>
          <w:tcPr>
            <w:tcW w:type="dxa" w:w="5760"/>
          </w:tcPr>
          <w:p>
            <w:r>
              <w:rPr>
                <w:sz w:val="20"/>
              </w:rPr>
              <w:t>Sky likely clear; service expected good</w:t>
            </w:r>
          </w:p>
        </w:tc>
      </w:tr>
      <w:tr>
        <w:tc>
          <w:tcPr>
            <w:tcW w:type="dxa" w:w="1728"/>
          </w:tcPr>
          <w:p>
            <w:r>
              <w:rPr>
                <w:sz w:val="20"/>
              </w:rPr>
              <w:t>20–44</w:t>
            </w:r>
          </w:p>
        </w:tc>
        <w:tc>
          <w:tcPr>
            <w:tcW w:type="dxa" w:w="1728"/>
          </w:tcPr>
          <w:p>
            <w:r>
              <w:rPr>
                <w:sz w:val="20"/>
              </w:rPr>
              <w:t>Moderate</w:t>
            </w:r>
          </w:p>
        </w:tc>
        <w:tc>
          <w:tcPr>
            <w:tcW w:type="dxa" w:w="5760"/>
          </w:tcPr>
          <w:p>
            <w:r>
              <w:rPr>
                <w:sz w:val="20"/>
              </w:rPr>
              <w:t>Some obstruction, may degrade seasonally or off-axis</w:t>
            </w:r>
          </w:p>
        </w:tc>
      </w:tr>
      <w:tr>
        <w:tc>
          <w:tcPr>
            <w:tcW w:type="dxa" w:w="1728"/>
          </w:tcPr>
          <w:p>
            <w:r>
              <w:rPr>
                <w:sz w:val="20"/>
              </w:rPr>
              <w:t>45–69</w:t>
            </w:r>
          </w:p>
        </w:tc>
        <w:tc>
          <w:tcPr>
            <w:tcW w:type="dxa" w:w="1728"/>
          </w:tcPr>
          <w:p>
            <w:r>
              <w:rPr>
                <w:sz w:val="20"/>
              </w:rPr>
              <w:t>High</w:t>
            </w:r>
          </w:p>
        </w:tc>
        <w:tc>
          <w:tcPr>
            <w:tcW w:type="dxa" w:w="5760"/>
          </w:tcPr>
          <w:p>
            <w:r>
              <w:rPr>
                <w:sz w:val="20"/>
              </w:rPr>
              <w:t>Meaningful FOV blockage; service likely impaired</w:t>
            </w:r>
          </w:p>
        </w:tc>
      </w:tr>
      <w:tr>
        <w:tc>
          <w:tcPr>
            <w:tcW w:type="dxa" w:w="1728"/>
          </w:tcPr>
          <w:p>
            <w:r>
              <w:rPr>
                <w:sz w:val="20"/>
              </w:rPr>
              <w:t>70–100</w:t>
            </w:r>
          </w:p>
        </w:tc>
        <w:tc>
          <w:tcPr>
            <w:tcW w:type="dxa" w:w="1728"/>
          </w:tcPr>
          <w:p>
            <w:r>
              <w:rPr>
                <w:sz w:val="20"/>
              </w:rPr>
              <w:t>Critical</w:t>
            </w:r>
          </w:p>
        </w:tc>
        <w:tc>
          <w:tcPr>
            <w:tcW w:type="dxa" w:w="5760"/>
          </w:tcPr>
          <w:p>
            <w:r>
              <w:rPr>
                <w:sz w:val="20"/>
              </w:rPr>
              <w:t>Severe obstruction; reliable Starlink service unlikely</w:t>
            </w:r>
          </w:p>
        </w:tc>
      </w:tr>
    </w:tbl>
    <w:p>
      <w:r>
        <w:br w:type="page"/>
      </w:r>
    </w:p>
    <w:p>
      <w:pPr>
        <w:pStyle w:val="Heading1"/>
      </w:pPr>
      <w:r>
        <w:rPr>
          <w:color w:val="1A3A5C"/>
        </w:rPr>
        <w:t>6. Feasibility Constraints</w:t>
      </w:r>
    </w:p>
    <w:p>
      <w:r>
        <w:t>Six binary hard constraints are evaluated independently. ALL must pass for a location to be classified as feasible. A single failure triggers the local search algorithm.</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Pr>
                <w:b/>
                <w:sz w:val="20"/>
              </w:rPr>
              <w:t>Constraint</w:t>
            </w:r>
          </w:p>
        </w:tc>
        <w:tc>
          <w:tcPr>
            <w:tcW w:type="dxa" w:w="2880"/>
          </w:tcPr>
          <w:p>
            <w:r>
              <w:rPr>
                <w:b/>
                <w:sz w:val="20"/>
              </w:rPr>
              <w:t>Threshold</w:t>
            </w:r>
          </w:p>
        </w:tc>
        <w:tc>
          <w:tcPr>
            <w:tcW w:type="dxa" w:w="4608"/>
          </w:tcPr>
          <w:p>
            <w:r>
              <w:rPr>
                <w:b/>
                <w:sz w:val="20"/>
              </w:rPr>
              <w:t>Rationale</w:t>
            </w:r>
          </w:p>
        </w:tc>
      </w:tr>
      <w:tr>
        <w:tc>
          <w:tcPr>
            <w:tcW w:type="dxa" w:w="1872"/>
          </w:tcPr>
          <w:p>
            <w:r>
              <w:rPr>
                <w:sz w:val="20"/>
              </w:rPr>
              <w:t>C_terrain_large</w:t>
            </w:r>
          </w:p>
        </w:tc>
        <w:tc>
          <w:tcPr>
            <w:tcW w:type="dxa" w:w="2880"/>
          </w:tcPr>
          <w:p>
            <w:r>
              <w:rPr>
                <w:sz w:val="20"/>
              </w:rPr>
              <w:t>≤10% FOV blocked by far-field terrain</w:t>
            </w:r>
          </w:p>
        </w:tc>
        <w:tc>
          <w:tcPr>
            <w:tcW w:type="dxa" w:w="4608"/>
          </w:tcPr>
          <w:p>
            <w:r>
              <w:rPr>
                <w:sz w:val="20"/>
              </w:rPr>
              <w:t>Far ridges are permanent and unavoidable by local relocation</w:t>
            </w:r>
          </w:p>
        </w:tc>
      </w:tr>
      <w:tr>
        <w:tc>
          <w:tcPr>
            <w:tcW w:type="dxa" w:w="1872"/>
          </w:tcPr>
          <w:p>
            <w:r>
              <w:rPr>
                <w:sz w:val="20"/>
              </w:rPr>
              <w:t>C_slope</w:t>
            </w:r>
          </w:p>
        </w:tc>
        <w:tc>
          <w:tcPr>
            <w:tcW w:type="dxa" w:w="2880"/>
          </w:tcPr>
          <w:p>
            <w:r>
              <w:rPr>
                <w:sz w:val="20"/>
              </w:rPr>
              <w:t>Local slope &lt; 20°</w:t>
            </w:r>
          </w:p>
        </w:tc>
        <w:tc>
          <w:tcPr>
            <w:tcW w:type="dxa" w:w="4608"/>
          </w:tcPr>
          <w:p>
            <w:r>
              <w:rPr>
                <w:sz w:val="20"/>
              </w:rPr>
              <w:t>Standard ground mount installation limit for dish stability</w:t>
            </w:r>
          </w:p>
        </w:tc>
      </w:tr>
      <w:tr>
        <w:tc>
          <w:tcPr>
            <w:tcW w:type="dxa" w:w="1872"/>
          </w:tcPr>
          <w:p>
            <w:r>
              <w:rPr>
                <w:sz w:val="20"/>
              </w:rPr>
              <w:t>C_veg_at_point</w:t>
            </w:r>
          </w:p>
        </w:tc>
        <w:tc>
          <w:tcPr>
            <w:tcW w:type="dxa" w:w="2880"/>
          </w:tcPr>
          <w:p>
            <w:r>
              <w:rPr>
                <w:sz w:val="20"/>
              </w:rPr>
              <w:t>Canopy at dish &lt; 1m (hi-res) or &lt; 8m (coarse)</w:t>
            </w:r>
          </w:p>
        </w:tc>
        <w:tc>
          <w:tcPr>
            <w:tcW w:type="dxa" w:w="4608"/>
          </w:tcPr>
          <w:p>
            <w:r>
              <w:rPr>
                <w:sz w:val="20"/>
              </w:rPr>
              <w:t>Dish must be above immediate treeline for clear sky access</w:t>
            </w:r>
          </w:p>
        </w:tc>
      </w:tr>
      <w:tr>
        <w:tc>
          <w:tcPr>
            <w:tcW w:type="dxa" w:w="1872"/>
          </w:tcPr>
          <w:p>
            <w:r>
              <w:rPr>
                <w:sz w:val="20"/>
              </w:rPr>
              <w:t>C_vegetation</w:t>
            </w:r>
          </w:p>
        </w:tc>
        <w:tc>
          <w:tcPr>
            <w:tcW w:type="dxa" w:w="2880"/>
          </w:tcPr>
          <w:p>
            <w:r>
              <w:rPr>
                <w:sz w:val="20"/>
              </w:rPr>
              <w:t>≤15% FOV blocked by canopy</w:t>
            </w:r>
          </w:p>
        </w:tc>
        <w:tc>
          <w:tcPr>
            <w:tcW w:type="dxa" w:w="4608"/>
          </w:tcPr>
          <w:p>
            <w:r>
              <w:rPr>
                <w:sz w:val="20"/>
              </w:rPr>
              <w:t>Seasonal but dense canopy still degrades signal year-round</w:t>
            </w:r>
          </w:p>
        </w:tc>
      </w:tr>
      <w:tr>
        <w:tc>
          <w:tcPr>
            <w:tcW w:type="dxa" w:w="1872"/>
          </w:tcPr>
          <w:p>
            <w:r>
              <w:rPr>
                <w:sz w:val="20"/>
              </w:rPr>
              <w:t>C_building_nearby</w:t>
            </w:r>
          </w:p>
        </w:tc>
        <w:tc>
          <w:tcPr>
            <w:tcW w:type="dxa" w:w="2880"/>
          </w:tcPr>
          <w:p>
            <w:r>
              <w:rPr>
                <w:sz w:val="20"/>
              </w:rPr>
              <w:t>≤5% FOV blocked by buildings</w:t>
            </w:r>
          </w:p>
        </w:tc>
        <w:tc>
          <w:tcPr>
            <w:tcW w:type="dxa" w:w="4608"/>
          </w:tcPr>
          <w:p>
            <w:r>
              <w:rPr>
                <w:sz w:val="20"/>
              </w:rPr>
              <w:t>Permanent obstacles; tight threshold reflects zero seasonal relief</w:t>
            </w:r>
          </w:p>
        </w:tc>
      </w:tr>
      <w:tr>
        <w:tc>
          <w:tcPr>
            <w:tcW w:type="dxa" w:w="1872"/>
          </w:tcPr>
          <w:p>
            <w:r>
              <w:rPr>
                <w:sz w:val="20"/>
              </w:rPr>
              <w:t>C_roof_usable</w:t>
            </w:r>
          </w:p>
        </w:tc>
        <w:tc>
          <w:tcPr>
            <w:tcW w:type="dxa" w:w="2880"/>
          </w:tcPr>
          <w:p>
            <w:r>
              <w:rPr>
                <w:sz w:val="20"/>
              </w:rPr>
              <w:t>Flat roof area ≥ 4m² (if on building)</w:t>
            </w:r>
          </w:p>
        </w:tc>
        <w:tc>
          <w:tcPr>
            <w:tcW w:type="dxa" w:w="4608"/>
          </w:tcPr>
          <w:p>
            <w:r>
              <w:rPr>
                <w:sz w:val="20"/>
              </w:rPr>
              <w:t>Physical space requirement for dish mounting hardware</w:t>
            </w:r>
          </w:p>
        </w:tc>
      </w:tr>
    </w:tbl>
    <w:p/>
    <w:p>
      <w:r>
        <w:t>The dual-threshold approach for canopy (1m at high resolution, 8m at coarse resolution) accounts for data quality differences. At 1m resolution, a canopy value of 0.5m reliably indicates no tree. At 27m resolution, a value of 5m could mean "average of trees and open ground in a 30m pixel"—the higher threshold avoids false negatives from coarse data.</w:t>
      </w:r>
    </w:p>
    <w:p>
      <w:r>
        <w:br w:type="page"/>
      </w:r>
    </w:p>
    <w:p>
      <w:pPr>
        <w:pStyle w:val="Heading1"/>
      </w:pPr>
      <w:r>
        <w:rPr>
          <w:color w:val="1A3A5C"/>
        </w:rPr>
        <w:t>7. Local Search Algorithm</w:t>
      </w:r>
    </w:p>
    <w:p>
      <w:r>
        <w:t>When a location fails feasibility constraints and risk exceeds 20, the system automatically searches nearby for a better installation site. The search uses a two-scale ring strategy:</w:t>
      </w:r>
    </w:p>
    <w:p>
      <w:pPr>
        <w:pStyle w:val="ListBullet"/>
      </w:pPr>
      <w:r>
        <w:rPr>
          <w:b/>
        </w:rPr>
        <w:t xml:space="preserve">Inner ring: </w:t>
      </w:r>
      <w:r>
        <w:t>8 candidates at 10–15m distance (immediate surroundings)</w:t>
      </w:r>
    </w:p>
    <w:p>
      <w:pPr>
        <w:pStyle w:val="ListBullet"/>
      </w:pPr>
      <w:r>
        <w:rPr>
          <w:b/>
        </w:rPr>
        <w:t xml:space="preserve">Outer ring: </w:t>
      </w:r>
      <w:r>
        <w:t>12 candidates at 30–50m distance (nearby relocation options)</w:t>
      </w:r>
    </w:p>
    <w:p>
      <w:r>
        <w:t>Each candidate runs the full pipeline with terrain tile reuse—the same far-field DEM is shared across all candidates (since a 50m shift does not change the 1,500m terrain view), and only the horizon profile is recalculated from the new center position. This reduces per-candidate cost from ~30s to ~2s.</w:t>
      </w:r>
    </w:p>
    <w:p>
      <w:r>
        <w:rPr>
          <w:b/>
        </w:rPr>
        <w:t xml:space="preserve">Objective function: </w:t>
      </w:r>
      <w:r>
        <w:t>minimize risk_score + 0.3 × distance_meters</w:t>
      </w:r>
    </w:p>
    <w:p>
      <w:r>
        <w:t>The distance penalty (0.3 risk points per meter) ensures the algorithm prefers nearby solutions. A candidate 20m away with risk 15 (objective = 21) beats a candidate 100m away with risk 5 (objective = 35). This reflects practical installation constraints—the recommended site must be accessible from the original address.</w:t>
      </w:r>
    </w:p>
    <w:p>
      <w:r>
        <w:rPr>
          <w:b/>
        </w:rPr>
        <w:t xml:space="preserve">Skip condition: </w:t>
      </w:r>
      <w:r>
        <w:t>When failure_mode == "regional_terrain", the search is skipped entirely. A 50m displacement cannot escape a far-field ridge visible at 1,500m. Running 20 candidates that all fail wastes compute without providing actionable guidance.</w:t>
      </w:r>
    </w:p>
    <w:p>
      <w:r>
        <w:br w:type="page"/>
      </w:r>
    </w:p>
    <w:p>
      <w:pPr>
        <w:pStyle w:val="Heading1"/>
      </w:pPr>
      <w:r>
        <w:rPr>
          <w:color w:val="1A3A5C"/>
        </w:rPr>
        <w:t>8. Interactive Web Application</w:t>
      </w:r>
    </w:p>
    <w:p>
      <w:pPr>
        <w:pStyle w:val="Heading2"/>
      </w:pPr>
      <w:r>
        <w:rPr>
          <w:color w:val="1A3A5C"/>
        </w:rPr>
        <w:t>Multi-Scale Visualization</w:t>
      </w:r>
    </w:p>
    <w:p>
      <w:r>
        <w:t>The web application renders 4.67M candidate locations without loading them all at once, using a three-tier zoom strategy: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tcPr>
          <w:p>
            <w:r>
              <w:rPr>
                <w:b/>
                <w:sz w:val="20"/>
              </w:rPr>
              <w:t>Zoom Level</w:t>
            </w:r>
          </w:p>
        </w:tc>
        <w:tc>
          <w:tcPr>
            <w:tcW w:type="dxa" w:w="2160"/>
          </w:tcPr>
          <w:p>
            <w:r>
              <w:rPr>
                <w:b/>
                <w:sz w:val="20"/>
              </w:rPr>
              <w:t>Layer</w:t>
            </w:r>
          </w:p>
        </w:tc>
        <w:tc>
          <w:tcPr>
            <w:tcW w:type="dxa" w:w="2880"/>
          </w:tcPr>
          <w:p>
            <w:r>
              <w:rPr>
                <w:b/>
                <w:sz w:val="20"/>
              </w:rPr>
              <w:t>Data Source</w:t>
            </w:r>
          </w:p>
        </w:tc>
        <w:tc>
          <w:tcPr>
            <w:tcW w:type="dxa" w:w="3168"/>
          </w:tcPr>
          <w:p>
            <w:r>
              <w:rPr>
                <w:b/>
                <w:sz w:val="20"/>
              </w:rPr>
              <w:t>Features</w:t>
            </w:r>
          </w:p>
        </w:tc>
      </w:tr>
      <w:tr>
        <w:tc>
          <w:tcPr>
            <w:tcW w:type="dxa" w:w="1152"/>
          </w:tcPr>
          <w:p>
            <w:r>
              <w:rPr>
                <w:sz w:val="20"/>
              </w:rPr>
              <w:t>&lt; 9</w:t>
            </w:r>
          </w:p>
        </w:tc>
        <w:tc>
          <w:tcPr>
            <w:tcW w:type="dxa" w:w="2160"/>
          </w:tcPr>
          <w:p>
            <w:r>
              <w:rPr>
                <w:sz w:val="20"/>
              </w:rPr>
              <w:t>County choropleth</w:t>
            </w:r>
          </w:p>
        </w:tc>
        <w:tc>
          <w:tcPr>
            <w:tcW w:type="dxa" w:w="2880"/>
          </w:tcPr>
          <w:p>
            <w:r>
              <w:rPr>
                <w:sz w:val="20"/>
              </w:rPr>
              <w:t>100 NC counties</w:t>
            </w:r>
          </w:p>
        </w:tc>
        <w:tc>
          <w:tcPr>
            <w:tcW w:type="dxa" w:w="3168"/>
          </w:tcPr>
          <w:p>
            <w:r>
              <w:rPr>
                <w:sz w:val="20"/>
              </w:rPr>
              <w:t>Colored by pass rate (continuous gradient)</w:t>
            </w:r>
          </w:p>
        </w:tc>
      </w:tr>
      <w:tr>
        <w:tc>
          <w:tcPr>
            <w:tcW w:type="dxa" w:w="1152"/>
          </w:tcPr>
          <w:p>
            <w:r>
              <w:rPr>
                <w:sz w:val="20"/>
              </w:rPr>
              <w:t>9–12</w:t>
            </w:r>
          </w:p>
        </w:tc>
        <w:tc>
          <w:tcPr>
            <w:tcW w:type="dxa" w:w="2160"/>
          </w:tcPr>
          <w:p>
            <w:r>
              <w:rPr>
                <w:sz w:val="20"/>
              </w:rPr>
              <w:t>Block group choropleth</w:t>
            </w:r>
          </w:p>
        </w:tc>
        <w:tc>
          <w:tcPr>
            <w:tcW w:type="dxa" w:w="2880"/>
          </w:tcPr>
          <w:p>
            <w:r>
              <w:rPr>
                <w:sz w:val="20"/>
              </w:rPr>
              <w:t>7,111 census block groups (TIGER/Line 2023)</w:t>
            </w:r>
          </w:p>
        </w:tc>
        <w:tc>
          <w:tcPr>
            <w:tcW w:type="dxa" w:w="3168"/>
          </w:tcPr>
          <w:p>
            <w:r>
              <w:rPr>
                <w:sz w:val="20"/>
              </w:rPr>
              <w:t>Colored by pass rate; tooltip shows stats</w:t>
            </w:r>
          </w:p>
        </w:tc>
      </w:tr>
      <w:tr>
        <w:tc>
          <w:tcPr>
            <w:tcW w:type="dxa" w:w="1152"/>
          </w:tcPr>
          <w:p>
            <w:r>
              <w:rPr>
                <w:sz w:val="20"/>
              </w:rPr>
              <w:t>≥ 12</w:t>
            </w:r>
          </w:p>
        </w:tc>
        <w:tc>
          <w:tcPr>
            <w:tcW w:type="dxa" w:w="2160"/>
          </w:tcPr>
          <w:p>
            <w:r>
              <w:rPr>
                <w:sz w:val="20"/>
              </w:rPr>
              <w:t>Individual dots</w:t>
            </w:r>
          </w:p>
        </w:tc>
        <w:tc>
          <w:tcPr>
            <w:tcW w:type="dxa" w:w="2880"/>
          </w:tcPr>
          <w:p>
            <w:r>
              <w:rPr>
                <w:sz w:val="20"/>
              </w:rPr>
              <w:t>Viewport-loaded from 4.67M dataset</w:t>
            </w:r>
          </w:p>
        </w:tc>
        <w:tc>
          <w:tcPr>
            <w:tcW w:type="dxa" w:w="3168"/>
          </w:tcPr>
          <w:p>
            <w:r>
              <w:rPr>
                <w:sz w:val="20"/>
              </w:rPr>
              <w:t>White = unanalyzed, colored = analyzed (by risk)</w:t>
            </w:r>
          </w:p>
        </w:tc>
      </w:tr>
    </w:tbl>
    <w:p/>
    <w:p>
      <w:r>
        <w:t>The color gradient is continuous: green (high pass rate) → yellow → orange → red (low pass rate). This avoids the "cliff effect" of discrete buckets where 49% and 51% pass rates appear in completely different colors.</w:t>
      </w:r>
    </w:p>
    <w:p>
      <w:pPr>
        <w:pStyle w:val="Heading2"/>
      </w:pPr>
      <w:r>
        <w:rPr>
          <w:color w:val="1A3A5C"/>
        </w:rPr>
        <w:t>On-Demand Analysis</w:t>
      </w:r>
    </w:p>
    <w:p>
      <w:pPr>
        <w:pStyle w:val="ListBullet"/>
      </w:pPr>
      <w:r>
        <w:t>Click any white (unanalyzed) dot at zoom ≥ 12 → runs full pipeline (~30s) → bottom drawer slides up with 5-panel diagnostic report</w:t>
      </w:r>
    </w:p>
    <w:p>
      <w:pPr>
        <w:pStyle w:val="ListBullet"/>
      </w:pPr>
      <w:r>
        <w:t>Draw a rectangle (Leaflet.Draw toolbar) → system identifies all points in the area, applies spatially uniform sampling (up to 100 points), and runs batch analysis with live progress tracking</w:t>
      </w:r>
    </w:p>
    <w:p>
      <w:pPr>
        <w:pStyle w:val="Heading2"/>
      </w:pPr>
      <w:r>
        <w:rPr>
          <w:color w:val="1A3A5C"/>
        </w:rPr>
        <w:t>Five Diagnostic Panels</w:t>
      </w:r>
    </w:p>
    <w:p>
      <w:pPr>
        <w:pStyle w:val="ListBullet"/>
      </w:pPr>
      <w:r>
        <w:rPr>
          <w:b/>
        </w:rPr>
        <w:t xml:space="preserve">Panel 1: Terrain (far-field, 1,500m) — </w:t>
      </w:r>
      <w:r>
        <w:t>DEM elevation map with shading showing ridges and valleys</w:t>
      </w:r>
    </w:p>
    <w:p>
      <w:pPr>
        <w:pStyle w:val="ListBullet"/>
      </w:pPr>
      <w:r>
        <w:rPr>
          <w:b/>
        </w:rPr>
        <w:t xml:space="preserve">Panel 2: Canopy + Buildings (100m) — </w:t>
      </w:r>
      <w:r>
        <w:t>Near-field obstruction map with vegetation and building heights</w:t>
      </w:r>
    </w:p>
    <w:p>
      <w:pPr>
        <w:pStyle w:val="ListBullet"/>
      </w:pPr>
      <w:r>
        <w:rPr>
          <w:b/>
        </w:rPr>
        <w:t xml:space="preserve">Panel 3: Feasibility Constraints — </w:t>
      </w:r>
      <w:r>
        <w:t>Six-constraint pass/fail summary with threshold values</w:t>
      </w:r>
    </w:p>
    <w:p>
      <w:pPr>
        <w:pStyle w:val="ListBullet"/>
      </w:pPr>
      <w:r>
        <w:rPr>
          <w:b/>
        </w:rPr>
        <w:t xml:space="preserve">Panel 4: Horizon Profile — </w:t>
      </w:r>
      <w:r>
        <w:t>Polar plot: obstruction angles by azimuth (compass: N=0°, clockwise). Shows Starlink FOV arc and 25° threshold.</w:t>
      </w:r>
    </w:p>
    <w:p>
      <w:pPr>
        <w:pStyle w:val="ListBullet"/>
      </w:pPr>
      <w:r>
        <w:rPr>
          <w:b/>
        </w:rPr>
        <w:t xml:space="preserve">Panel 5: Neighbourhood Suitability — </w:t>
      </w:r>
      <w:r>
        <w:t>Nearby candidate comparison showing best alternative location</w:t>
      </w:r>
    </w:p>
    <w:p>
      <w:pPr>
        <w:pStyle w:val="Heading2"/>
      </w:pPr>
      <w:r>
        <w:rPr>
          <w:color w:val="1A3A5C"/>
        </w:rPr>
        <w:t>Technical Implementation</w:t>
      </w:r>
    </w:p>
    <w:p>
      <w:pPr>
        <w:pStyle w:val="ListBullet"/>
      </w:pPr>
      <w:r>
        <w:rPr>
          <w:b/>
        </w:rPr>
        <w:t xml:space="preserve">FastAPI backend: </w:t>
      </w:r>
      <w:r>
        <w:t>Async job system (ThreadPoolExecutor for CPU-bound geospatial work)</w:t>
      </w:r>
    </w:p>
    <w:p>
      <w:pPr>
        <w:pStyle w:val="ListBullet"/>
      </w:pPr>
      <w:r>
        <w:rPr>
          <w:b/>
        </w:rPr>
        <w:t xml:space="preserve">Leaflet.js: </w:t>
      </w:r>
      <w:r>
        <w:t>preferCanvas:true for rendering thousands of markers efficiently</w:t>
      </w:r>
    </w:p>
    <w:p>
      <w:pPr>
        <w:pStyle w:val="ListBullet"/>
      </w:pPr>
      <w:r>
        <w:rPr>
          <w:b/>
        </w:rPr>
        <w:t xml:space="preserve">Viewport loading: </w:t>
      </w:r>
      <w:r>
        <w:t>AbortController cancels stale fetches when user pans/zooms</w:t>
      </w:r>
    </w:p>
    <w:p>
      <w:pPr>
        <w:pStyle w:val="ListBullet"/>
      </w:pPr>
      <w:r>
        <w:rPr>
          <w:b/>
        </w:rPr>
        <w:t xml:space="preserve">Terrain tile caching: </w:t>
      </w:r>
      <w:r>
        <w:t>~1km grid cells prevent redundant 3DEP WMS requests during batch</w:t>
      </w:r>
    </w:p>
    <w:p>
      <w:r>
        <w:rPr>
          <w:i/>
        </w:rPr>
        <w:br/>
        <w:t>[INSERT SCREENSHOT: Interactive map showing multi-scale visualization]</w:t>
      </w:r>
    </w:p>
    <w:p>
      <w:r>
        <w:br w:type="page"/>
      </w:r>
    </w:p>
    <w:p>
      <w:pPr>
        <w:pStyle w:val="Heading1"/>
      </w:pPr>
      <w:r>
        <w:rPr>
          <w:color w:val="1A3A5C"/>
        </w:rPr>
        <w:t>9. Batch Processing &amp; Scalability</w:t>
      </w:r>
    </w:p>
    <w:p>
      <w:pPr>
        <w:pStyle w:val="Heading2"/>
      </w:pPr>
      <w:r>
        <w:rPr>
          <w:color w:val="1A3A5C"/>
        </w:rPr>
        <w:t>Stratified Sampling</w:t>
      </w:r>
    </w:p>
    <w:p>
      <w:r>
        <w:t>The batch runner (batch_nc_analysis.py) samples proportionally from each of the 100 NC counties to ensure geographic coverage. This prevents oversampling dense urban areas (Charlotte, Raleigh) and undersampling sparse rural counties that may have the highest terrain risk.</w:t>
      </w:r>
    </w:p>
    <w:p>
      <w:pPr>
        <w:pStyle w:val="Heading2"/>
      </w:pPr>
      <w:r>
        <w:rPr>
          <w:color w:val="1A3A5C"/>
        </w:rPr>
        <w:t>Throughput</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Pr>
                <w:b/>
                <w:sz w:val="20"/>
              </w:rPr>
              <w:t>Configuration</w:t>
            </w:r>
          </w:p>
        </w:tc>
        <w:tc>
          <w:tcPr>
            <w:tcW w:type="dxa" w:w="2160"/>
          </w:tcPr>
          <w:p>
            <w:r>
              <w:rPr>
                <w:b/>
                <w:sz w:val="20"/>
              </w:rPr>
              <w:t>Throughput</w:t>
            </w:r>
          </w:p>
        </w:tc>
        <w:tc>
          <w:tcPr>
            <w:tcW w:type="dxa" w:w="4320"/>
          </w:tcPr>
          <w:p>
            <w:r>
              <w:rPr>
                <w:b/>
                <w:sz w:val="20"/>
              </w:rPr>
              <w:t>Bottleneck</w:t>
            </w:r>
          </w:p>
        </w:tc>
      </w:tr>
      <w:tr>
        <w:tc>
          <w:tcPr>
            <w:tcW w:type="dxa" w:w="2880"/>
          </w:tcPr>
          <w:p>
            <w:r>
              <w:rPr>
                <w:sz w:val="20"/>
              </w:rPr>
              <w:t>Single-threaded (current)</w:t>
            </w:r>
          </w:p>
        </w:tc>
        <w:tc>
          <w:tcPr>
            <w:tcW w:type="dxa" w:w="2160"/>
          </w:tcPr>
          <w:p>
            <w:r>
              <w:rPr>
                <w:sz w:val="20"/>
              </w:rPr>
              <w:t>~500 loc/hr</w:t>
            </w:r>
          </w:p>
        </w:tc>
        <w:tc>
          <w:tcPr>
            <w:tcW w:type="dxa" w:w="4320"/>
          </w:tcPr>
          <w:p>
            <w:r>
              <w:rPr>
                <w:sz w:val="20"/>
              </w:rPr>
              <w:t>USGS 3DEP WMS rate limiting</w:t>
            </w:r>
          </w:p>
        </w:tc>
      </w:tr>
      <w:tr>
        <w:tc>
          <w:tcPr>
            <w:tcW w:type="dxa" w:w="2880"/>
          </w:tcPr>
          <w:p>
            <w:r>
              <w:rPr>
                <w:sz w:val="20"/>
              </w:rPr>
              <w:t>ProcessPoolExecutor(10)</w:t>
            </w:r>
          </w:p>
        </w:tc>
        <w:tc>
          <w:tcPr>
            <w:tcW w:type="dxa" w:w="2160"/>
          </w:tcPr>
          <w:p>
            <w:r>
              <w:rPr>
                <w:sz w:val="20"/>
              </w:rPr>
              <w:t>~5,000 loc/hr</w:t>
            </w:r>
          </w:p>
        </w:tc>
        <w:tc>
          <w:tcPr>
            <w:tcW w:type="dxa" w:w="4320"/>
          </w:tcPr>
          <w:p>
            <w:r>
              <w:rPr>
                <w:sz w:val="20"/>
              </w:rPr>
              <w:t>Network bandwidth + API rate limits</w:t>
            </w:r>
          </w:p>
        </w:tc>
      </w:tr>
      <w:tr>
        <w:tc>
          <w:tcPr>
            <w:tcW w:type="dxa" w:w="2880"/>
          </w:tcPr>
          <w:p>
            <w:r>
              <w:rPr>
                <w:sz w:val="20"/>
              </w:rPr>
              <w:t>Production (tile cache + horizontal)</w:t>
            </w:r>
          </w:p>
        </w:tc>
        <w:tc>
          <w:tcPr>
            <w:tcW w:type="dxa" w:w="2160"/>
          </w:tcPr>
          <w:p>
            <w:r>
              <w:rPr>
                <w:sz w:val="20"/>
              </w:rPr>
              <w:t>~50,000 loc/hr</w:t>
            </w:r>
          </w:p>
        </w:tc>
        <w:tc>
          <w:tcPr>
            <w:tcW w:type="dxa" w:w="4320"/>
          </w:tcPr>
          <w:p>
            <w:r>
              <w:rPr>
                <w:sz w:val="20"/>
              </w:rPr>
              <w:t>Pre-cached tiles eliminate most API calls</w:t>
            </w:r>
          </w:p>
        </w:tc>
      </w:tr>
    </w:tbl>
    <w:p/>
    <w:p>
      <w:pPr>
        <w:pStyle w:val="Heading2"/>
      </w:pPr>
      <w:r>
        <w:rPr>
          <w:color w:val="1A3A5C"/>
        </w:rPr>
        <w:t>Scale Path</w:t>
      </w:r>
    </w:p>
    <w:p>
      <w:pPr>
        <w:pStyle w:val="ListBullet"/>
      </w:pPr>
      <w:r>
        <w:rPr>
          <w:b/>
        </w:rPr>
        <w:t xml:space="preserve">Tile caching: </w:t>
      </w:r>
      <w:r>
        <w:t>Cache terrain tiles by (zoom, x, y) grid coordinates. A 1km grid cell covers ~100 candidate locations, so the first analysis caches the tile and subsequent ones reuse it.</w:t>
      </w:r>
    </w:p>
    <w:p>
      <w:pPr>
        <w:pStyle w:val="ListBullet"/>
      </w:pPr>
      <w:r>
        <w:rPr>
          <w:b/>
        </w:rPr>
        <w:t xml:space="preserve">Pre-fetch buildings: </w:t>
      </w:r>
      <w:r>
        <w:t>Download all Microsoft building footprint parquet files for a state/county before batch begins, eliminating per-point network calls.</w:t>
      </w:r>
    </w:p>
    <w:p>
      <w:pPr>
        <w:pStyle w:val="ListBullet"/>
      </w:pPr>
      <w:r>
        <w:rPr>
          <w:b/>
        </w:rPr>
        <w:t xml:space="preserve">Horizontal scaling: </w:t>
      </w:r>
      <w:r>
        <w:t>Terrain fetching and building lookups are CPU-independent—distribute across machines with a shared tile cache (S3 or Redis).</w:t>
      </w:r>
    </w:p>
    <w:p>
      <w:pPr>
        <w:pStyle w:val="Heading2"/>
      </w:pPr>
      <w:r>
        <w:rPr>
          <w:color w:val="1A3A5C"/>
        </w:rPr>
        <w:t>AOI Batch Constraint</w:t>
      </w:r>
    </w:p>
    <w:p>
      <w:r>
        <w:t>Area-of-interest batches are capped at 100 points per request. This is a deliberate performance constraint (100 points × ~30s = ~50 minutes worst case). The system applies spatially uniform sampling: it grids the selected area and picks one point per grid cell, ensuring geographic coverage rather than random clustering. The user sees "X total points, Y already analyzed, Z to process" before confirming.</w:t>
      </w:r>
    </w:p>
    <w:p>
      <w:r>
        <w:br w:type="page"/>
      </w:r>
    </w:p>
    <w:p>
      <w:pPr>
        <w:pStyle w:val="Heading1"/>
      </w:pPr>
      <w:r>
        <w:rPr>
          <w:color w:val="1A3A5C"/>
        </w:rPr>
        <w:t>10. Results Summary</w:t>
      </w:r>
    </w:p>
    <w:p>
      <w:r>
        <w:t>Over 850 locations have been analyzed across all 100 NC counties, revealing clear geographic patterns in Starlink installation feasibility: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r>
              <w:rPr>
                <w:b/>
                <w:sz w:val="20"/>
              </w:rPr>
              <w:t>Region</w:t>
            </w:r>
          </w:p>
        </w:tc>
        <w:tc>
          <w:tcPr>
            <w:tcW w:type="dxa" w:w="2160"/>
          </w:tcPr>
          <w:p>
            <w:r>
              <w:rPr>
                <w:b/>
                <w:sz w:val="20"/>
              </w:rPr>
              <w:t>Geography</w:t>
            </w:r>
          </w:p>
        </w:tc>
        <w:tc>
          <w:tcPr>
            <w:tcW w:type="dxa" w:w="1872"/>
          </w:tcPr>
          <w:p>
            <w:r>
              <w:rPr>
                <w:b/>
                <w:sz w:val="20"/>
              </w:rPr>
              <w:t>Infeasibility Rate</w:t>
            </w:r>
          </w:p>
        </w:tc>
        <w:tc>
          <w:tcPr>
            <w:tcW w:type="dxa" w:w="3456"/>
          </w:tcPr>
          <w:p>
            <w:r>
              <w:rPr>
                <w:b/>
                <w:sz w:val="20"/>
              </w:rPr>
              <w:t>Dominant Obstruction</w:t>
            </w:r>
          </w:p>
        </w:tc>
      </w:tr>
      <w:tr>
        <w:tc>
          <w:tcPr>
            <w:tcW w:type="dxa" w:w="1872"/>
          </w:tcPr>
          <w:p>
            <w:r>
              <w:rPr>
                <w:sz w:val="20"/>
              </w:rPr>
              <w:t>Western NC</w:t>
            </w:r>
          </w:p>
        </w:tc>
        <w:tc>
          <w:tcPr>
            <w:tcW w:type="dxa" w:w="2160"/>
          </w:tcPr>
          <w:p>
            <w:r>
              <w:rPr>
                <w:sz w:val="20"/>
              </w:rPr>
              <w:t>Appalachian Mountains</w:t>
            </w:r>
          </w:p>
        </w:tc>
        <w:tc>
          <w:tcPr>
            <w:tcW w:type="dxa" w:w="1872"/>
          </w:tcPr>
          <w:p>
            <w:r>
              <w:rPr>
                <w:sz w:val="20"/>
              </w:rPr>
              <w:t>50–70%</w:t>
            </w:r>
          </w:p>
        </w:tc>
        <w:tc>
          <w:tcPr>
            <w:tcW w:type="dxa" w:w="3456"/>
          </w:tcPr>
          <w:p>
            <w:r>
              <w:rPr>
                <w:sz w:val="20"/>
              </w:rPr>
              <w:t>Terrain (ridges, steep slopes)</w:t>
            </w:r>
          </w:p>
        </w:tc>
      </w:tr>
      <w:tr>
        <w:tc>
          <w:tcPr>
            <w:tcW w:type="dxa" w:w="1872"/>
          </w:tcPr>
          <w:p>
            <w:r>
              <w:rPr>
                <w:sz w:val="20"/>
              </w:rPr>
              <w:t>Central NC</w:t>
            </w:r>
          </w:p>
        </w:tc>
        <w:tc>
          <w:tcPr>
            <w:tcW w:type="dxa" w:w="2160"/>
          </w:tcPr>
          <w:p>
            <w:r>
              <w:rPr>
                <w:sz w:val="20"/>
              </w:rPr>
              <w:t>Piedmont Plateau</w:t>
            </w:r>
          </w:p>
        </w:tc>
        <w:tc>
          <w:tcPr>
            <w:tcW w:type="dxa" w:w="1872"/>
          </w:tcPr>
          <w:p>
            <w:r>
              <w:rPr>
                <w:sz w:val="20"/>
              </w:rPr>
              <w:t>10–30%</w:t>
            </w:r>
          </w:p>
        </w:tc>
        <w:tc>
          <w:tcPr>
            <w:tcW w:type="dxa" w:w="3456"/>
          </w:tcPr>
          <w:p>
            <w:r>
              <w:rPr>
                <w:sz w:val="20"/>
              </w:rPr>
              <w:t>Mixed vegetation + buildings</w:t>
            </w:r>
          </w:p>
        </w:tc>
      </w:tr>
      <w:tr>
        <w:tc>
          <w:tcPr>
            <w:tcW w:type="dxa" w:w="1872"/>
          </w:tcPr>
          <w:p>
            <w:r>
              <w:rPr>
                <w:sz w:val="20"/>
              </w:rPr>
              <w:t>Eastern NC</w:t>
            </w:r>
          </w:p>
        </w:tc>
        <w:tc>
          <w:tcPr>
            <w:tcW w:type="dxa" w:w="2160"/>
          </w:tcPr>
          <w:p>
            <w:r>
              <w:rPr>
                <w:sz w:val="20"/>
              </w:rPr>
              <w:t>Coastal Plain</w:t>
            </w:r>
          </w:p>
        </w:tc>
        <w:tc>
          <w:tcPr>
            <w:tcW w:type="dxa" w:w="1872"/>
          </w:tcPr>
          <w:p>
            <w:r>
              <w:rPr>
                <w:sz w:val="20"/>
              </w:rPr>
              <w:t>&lt;10%</w:t>
            </w:r>
          </w:p>
        </w:tc>
        <w:tc>
          <w:tcPr>
            <w:tcW w:type="dxa" w:w="3456"/>
          </w:tcPr>
          <w:p>
            <w:r>
              <w:rPr>
                <w:sz w:val="20"/>
              </w:rPr>
              <w:t>Minimal (flat terrain, sparse canopy)</w:t>
            </w:r>
          </w:p>
        </w:tc>
      </w:tr>
    </w:tbl>
    <w:p/>
    <w:p>
      <w:r>
        <w:t>The distribution is bimodal: locations are either in heavily wooded/mountainous areas (critical-tier, risk 70–100) or relatively open (low-tier, risk 0–19). The moderate tier (20–44) is less common, suggesting that partial obstructions—where a location is borderline—are relatively rare. This has practical implications: most locations are clearly good or clearly bad, reducing the need for manual site surveys to the moderate-tier borderline cases.</w:t>
      </w:r>
    </w:p>
    <w:p>
      <w:r>
        <w:rPr>
          <w:i/>
        </w:rPr>
        <w:br/>
        <w:t>[INSERT FIGURE: County-level choropleth showing feasibility patterns across NC]</w:t>
      </w:r>
    </w:p>
    <w:p>
      <w:r>
        <w:rPr>
          <w:i/>
        </w:rPr>
        <w:br/>
        <w:t>[INSERT FIGURE: Spatial distribution of analyzed locations and risk tiers]</w:t>
      </w:r>
    </w:p>
    <w:p>
      <w:r>
        <w:br w:type="page"/>
      </w:r>
    </w:p>
    <w:p>
      <w:pPr>
        <w:pStyle w:val="Heading1"/>
      </w:pPr>
      <w:r>
        <w:rPr>
          <w:color w:val="1A3A5C"/>
        </w:rPr>
        <w:t>11. Known Limitations &amp; Future Work</w:t>
      </w:r>
    </w:p>
    <w:p>
      <w:pPr>
        <w:pStyle w:val="Heading2"/>
      </w:pPr>
      <w:r>
        <w:rPr>
          <w:color w:val="1A3A5C"/>
        </w:rPr>
        <w:t>Current Limitations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Limitation</w:t>
            </w:r>
          </w:p>
        </w:tc>
        <w:tc>
          <w:tcPr>
            <w:tcW w:type="dxa" w:w="2880"/>
          </w:tcPr>
          <w:p>
            <w:r>
              <w:rPr>
                <w:b/>
                <w:sz w:val="20"/>
              </w:rPr>
              <w:t>Impact</w:t>
            </w:r>
          </w:p>
        </w:tc>
        <w:tc>
          <w:tcPr>
            <w:tcW w:type="dxa" w:w="4320"/>
          </w:tcPr>
          <w:p>
            <w:r>
              <w:rPr>
                <w:b/>
                <w:sz w:val="20"/>
              </w:rPr>
              <w:t>Mitigation</w:t>
            </w:r>
          </w:p>
        </w:tc>
      </w:tr>
      <w:tr>
        <w:tc>
          <w:tcPr>
            <w:tcW w:type="dxa" w:w="2160"/>
          </w:tcPr>
          <w:p>
            <w:r>
              <w:rPr>
                <w:sz w:val="20"/>
              </w:rPr>
              <w:t>3DEP API rate limits</w:t>
            </w:r>
          </w:p>
        </w:tc>
        <w:tc>
          <w:tcPr>
            <w:tcW w:type="dxa" w:w="2880"/>
          </w:tcPr>
          <w:p>
            <w:r>
              <w:rPr>
                <w:sz w:val="20"/>
              </w:rPr>
              <w:t>Constrains throughput to ~500 loc/hr single-threaded</w:t>
            </w:r>
          </w:p>
        </w:tc>
        <w:tc>
          <w:tcPr>
            <w:tcW w:type="dxa" w:w="4320"/>
          </w:tcPr>
          <w:p>
            <w:r>
              <w:rPr>
                <w:sz w:val="20"/>
              </w:rPr>
              <w:t>Tile caching + ProcessPoolExecutor achieves 5,000/hr</w:t>
            </w:r>
          </w:p>
        </w:tc>
      </w:tr>
      <w:tr>
        <w:tc>
          <w:tcPr>
            <w:tcW w:type="dxa" w:w="2160"/>
          </w:tcPr>
          <w:p>
            <w:r>
              <w:rPr>
                <w:sz w:val="20"/>
              </w:rPr>
              <w:t>27m canopy fallback</w:t>
            </w:r>
          </w:p>
        </w:tc>
        <w:tc>
          <w:tcPr>
            <w:tcW w:type="dxa" w:w="2880"/>
          </w:tcPr>
          <w:p>
            <w:r>
              <w:rPr>
                <w:sz w:val="20"/>
              </w:rPr>
              <w:t>Loses sub-30m spatial detail when GEE unavailable</w:t>
            </w:r>
          </w:p>
        </w:tc>
        <w:tc>
          <w:tcPr>
            <w:tcW w:type="dxa" w:w="4320"/>
          </w:tcPr>
          <w:p>
            <w:r>
              <w:rPr>
                <w:sz w:val="20"/>
              </w:rPr>
              <w:t>GEE 1m is primary; fallback used only on auth failure</w:t>
            </w:r>
          </w:p>
        </w:tc>
      </w:tr>
      <w:tr>
        <w:tc>
          <w:tcPr>
            <w:tcW w:type="dxa" w:w="2160"/>
          </w:tcPr>
          <w:p>
            <w:r>
              <w:rPr>
                <w:sz w:val="20"/>
              </w:rPr>
              <w:t>Static data assumption</w:t>
            </w:r>
          </w:p>
        </w:tc>
        <w:tc>
          <w:tcPr>
            <w:tcW w:type="dxa" w:w="2880"/>
          </w:tcPr>
          <w:p>
            <w:r>
              <w:rPr>
                <w:sz w:val="20"/>
              </w:rPr>
              <w:t>No seasonal canopy change or new construction</w:t>
            </w:r>
          </w:p>
        </w:tc>
        <w:tc>
          <w:tcPr>
            <w:tcW w:type="dxa" w:w="4320"/>
          </w:tcPr>
          <w:p>
            <w:r>
              <w:rPr>
                <w:sz w:val="20"/>
              </w:rPr>
              <w:t>Temporal integration planned as future enhancement</w:t>
            </w:r>
          </w:p>
        </w:tc>
      </w:tr>
      <w:tr>
        <w:tc>
          <w:tcPr>
            <w:tcW w:type="dxa" w:w="2160"/>
          </w:tcPr>
          <w:p>
            <w:r>
              <w:rPr>
                <w:sz w:val="20"/>
              </w:rPr>
              <w:t>ML-predicted building heights</w:t>
            </w:r>
          </w:p>
        </w:tc>
        <w:tc>
          <w:tcPr>
            <w:tcW w:type="dxa" w:w="2880"/>
          </w:tcPr>
          <w:p>
            <w:r>
              <w:rPr>
                <w:sz w:val="20"/>
              </w:rPr>
              <w:t>Heights are estimates, not surveyed measurements</w:t>
            </w:r>
          </w:p>
        </w:tc>
        <w:tc>
          <w:tcPr>
            <w:tcW w:type="dxa" w:w="4320"/>
          </w:tcPr>
          <w:p>
            <w:r>
              <w:rPr>
                <w:sz w:val="20"/>
              </w:rPr>
              <w:t>Adequate for obstruction screening; survey for final install</w:t>
            </w:r>
          </w:p>
        </w:tc>
      </w:tr>
      <w:tr>
        <w:tc>
          <w:tcPr>
            <w:tcW w:type="dxa" w:w="2160"/>
          </w:tcPr>
          <w:p>
            <w:r>
              <w:rPr>
                <w:sz w:val="20"/>
              </w:rPr>
              <w:t>GEE license (non-profit)</w:t>
            </w:r>
          </w:p>
        </w:tc>
        <w:tc>
          <w:tcPr>
            <w:tcW w:type="dxa" w:w="2880"/>
          </w:tcPr>
          <w:p>
            <w:r>
              <w:rPr>
                <w:sz w:val="20"/>
              </w:rPr>
              <w:t>Personal account; commercial use requires license</w:t>
            </w:r>
          </w:p>
        </w:tc>
        <w:tc>
          <w:tcPr>
            <w:tcW w:type="dxa" w:w="4320"/>
          </w:tcPr>
          <w:p>
            <w:r>
              <w:rPr>
                <w:sz w:val="20"/>
              </w:rPr>
              <w:t>Commercial GEE license for production deployment</w:t>
            </w:r>
          </w:p>
        </w:tc>
      </w:tr>
    </w:tbl>
    <w:p>
      <w:pPr>
        <w:pStyle w:val="Heading2"/>
      </w:pPr>
      <w:r>
        <w:rPr>
          <w:color w:val="1A3A5C"/>
        </w:rPr>
        <w:t>Future Improvements</w:t>
      </w:r>
    </w:p>
    <w:p>
      <w:pPr>
        <w:pStyle w:val="ListBullet"/>
      </w:pPr>
      <w:r>
        <w:rPr>
          <w:b/>
        </w:rPr>
        <w:t xml:space="preserve">Temporal data: </w:t>
      </w:r>
      <w:r>
        <w:t>Integrate seasonal NDVI and construction permit databases for change detection</w:t>
      </w:r>
    </w:p>
    <w:p>
      <w:pPr>
        <w:pStyle w:val="ListBullet"/>
      </w:pPr>
      <w:r>
        <w:rPr>
          <w:b/>
        </w:rPr>
        <w:t xml:space="preserve">GPU acceleration: </w:t>
      </w:r>
      <w:r>
        <w:t>CUDA-accelerated ray-casting for real-time analysis at interactive speeds</w:t>
      </w:r>
    </w:p>
    <w:p>
      <w:pPr>
        <w:pStyle w:val="ListBullet"/>
      </w:pPr>
      <w:r>
        <w:rPr>
          <w:b/>
        </w:rPr>
        <w:t xml:space="preserve">LiDAR integration: </w:t>
      </w:r>
      <w:r>
        <w:t>Where available, use LiDAR point clouds instead of raster DEM for higher fidelity</w:t>
      </w:r>
    </w:p>
    <w:p>
      <w:pPr>
        <w:pStyle w:val="ListBullet"/>
      </w:pPr>
      <w:r>
        <w:rPr>
          <w:b/>
        </w:rPr>
        <w:t xml:space="preserve">Better building data: </w:t>
      </w:r>
      <w:r>
        <w:t>Municipal building permits and LiDAR-derived heights for surveyed accuracy</w:t>
      </w:r>
    </w:p>
    <w:p>
      <w:pPr>
        <w:pStyle w:val="ListBullet"/>
      </w:pPr>
      <w:r>
        <w:rPr>
          <w:b/>
        </w:rPr>
        <w:t xml:space="preserve">National tile cache: </w:t>
      </w:r>
      <w:r>
        <w:t>Pre-compute and cache nationwide tiles for sub-second response times</w:t>
      </w:r>
    </w:p>
    <w:p>
      <w:r>
        <w:br w:type="page"/>
      </w:r>
    </w:p>
    <w:p>
      <w:pPr>
        <w:pStyle w:val="Heading1"/>
      </w:pPr>
      <w:r>
        <w:rPr>
          <w:color w:val="1A3A5C"/>
        </w:rPr>
        <w:t>12. Reproducibility</w:t>
      </w:r>
    </w:p>
    <w:p>
      <w:pPr>
        <w:pStyle w:val="Heading2"/>
      </w:pPr>
      <w:r>
        <w:rPr>
          <w:color w:val="1A3A5C"/>
        </w:rPr>
        <w:t>Environment Setup</w:t>
      </w:r>
    </w:p>
    <w:p>
      <w:r>
        <w:rPr>
          <w:rFonts w:ascii="Consolas" w:hAnsi="Consolas"/>
          <w:sz w:val="20"/>
        </w:rPr>
        <w:t>conda activate cs378</w:t>
      </w:r>
    </w:p>
    <w:p>
      <w:r>
        <w:t>Python 3.10+ with the following key dependencies: py3dep, rasterio, geopandas, shapely, numpy, matplotlib, earthengine-api, fastapi, uvicorn, pandas.</w:t>
      </w:r>
    </w:p>
    <w:p>
      <w:pPr>
        <w:pStyle w:val="Heading2"/>
      </w:pPr>
      <w:r>
        <w:rPr>
          <w:color w:val="1A3A5C"/>
        </w:rPr>
        <w:t>Data Requirements</w:t>
      </w:r>
    </w:p>
    <w:p>
      <w:pPr>
        <w:pStyle w:val="ListBullet"/>
      </w:pPr>
      <w:r>
        <w:rPr>
          <w:b/>
        </w:rPr>
        <w:t xml:space="preserve">Input: </w:t>
      </w:r>
      <w:r>
        <w:t>DATA_CHALLENGE_50.csv (4.67M rows, ~600MB) — available on Google Drive</w:t>
      </w:r>
    </w:p>
    <w:p>
      <w:pPr>
        <w:pStyle w:val="ListBullet"/>
      </w:pPr>
      <w:r>
        <w:rPr>
          <w:b/>
        </w:rPr>
        <w:t xml:space="preserve">Pre-computed: </w:t>
      </w:r>
      <w:r>
        <w:t>outputs/ directory with pre-computed results (JSON + PNG per point)</w:t>
      </w:r>
    </w:p>
    <w:p>
      <w:pPr>
        <w:pStyle w:val="ListBullet"/>
      </w:pPr>
      <w:r>
        <w:rPr>
          <w:b/>
        </w:rPr>
        <w:t xml:space="preserve">Boundaries: </w:t>
      </w:r>
      <w:r>
        <w:t>data/boundaries/ with county and block group GeoJSON for NC</w:t>
      </w:r>
    </w:p>
    <w:p>
      <w:pPr>
        <w:pStyle w:val="Heading2"/>
      </w:pPr>
      <w:r>
        <w:rPr>
          <w:color w:val="1A3A5C"/>
        </w:rPr>
        <w:t>Deterministic Guarantee</w:t>
      </w:r>
    </w:p>
    <w:p>
      <w:r>
        <w:t>All scoring is deterministic—identical input coordinates produce identical risk scores across runs, machines, and time. The only source of non-determinism is API availability (3DEP timeout triggering resolution fallback), which affects data quality but not the scoring formula itself. Results are cached on first computation and served from cache on subsequent requests.</w:t>
      </w:r>
    </w:p>
    <w:p>
      <w:r>
        <w:br w:type="page"/>
      </w:r>
    </w:p>
    <w:p>
      <w:pPr>
        <w:pStyle w:val="Heading1"/>
      </w:pPr>
      <w:r>
        <w:rPr>
          <w:color w:val="1A3A5C"/>
        </w:rPr>
        <w:t>Appendix: Interview Talking Points</w:t>
      </w:r>
    </w:p>
    <w:p>
      <w:r>
        <w:t>Key technical decisions and their justifications, organized by likely interview questions:</w:t>
      </w:r>
    </w:p>
    <w:p>
      <w:pPr>
        <w:pStyle w:val="Heading2"/>
      </w:pPr>
      <w:r>
        <w:rPr>
          <w:color w:val="1A3A5C"/>
        </w:rPr>
        <w:t>Q: Why not use an LLM for scoring?</w:t>
      </w:r>
    </w:p>
    <w:p>
      <w:r>
        <w:t>Three reasons: cost ($500–2,000 at 1M locations), latency (hours vs. seconds), and reproducibility (LLM outputs vary between identical calls). The formula is fully decomposable—every score can be explained as "X% of your northern sky is blocked, the worst angle is Y°, and the obstruction is [terrain/vegetation/building]." Claude adds value at the interface layer, not the computation layer.</w:t>
      </w:r>
    </w:p>
    <w:p>
      <w:pPr>
        <w:pStyle w:val="Heading2"/>
      </w:pPr>
      <w:r>
        <w:rPr>
          <w:color w:val="1A3A5C"/>
        </w:rPr>
        <w:t>Q: How do you handle 4.67M points in the browser?</w:t>
      </w:r>
    </w:p>
    <w:p>
      <w:r>
        <w:t>Never load all points. Three zoom tiers: county choropleth (100 features) at low zoom, block group choropleth (7,111 features) at mid zoom, viewport-loaded dots (max 5,000) at high zoom. Leaflet preferCanvas:true renders markers as canvas draws instead of DOM elements. AbortController cancels stale requests when the user pans.</w:t>
      </w:r>
    </w:p>
    <w:p>
      <w:pPr>
        <w:pStyle w:val="Heading2"/>
      </w:pPr>
      <w:r>
        <w:rPr>
          <w:color w:val="1A3A5C"/>
        </w:rPr>
        <w:t>Q: Why Microsoft buildings over Google?</w:t>
      </w:r>
    </w:p>
    <w:p>
      <w:r>
        <w:t>Empirical. Google Open Buildings uses satellite imagery to detect structures, but their S2 tile for central Texas returned zero buildings in Austin—it only had rural structures. Microsoft ML Footprints uses aerial imagery with ML-predicted heights and covers all of CONUS including urban areas. We swapped the priority after testing.</w:t>
      </w:r>
    </w:p>
    <w:p>
      <w:pPr>
        <w:pStyle w:val="Heading2"/>
      </w:pPr>
      <w:r>
        <w:rPr>
          <w:color w:val="1A3A5C"/>
        </w:rPr>
        <w:t>Q: What would you change for production?</w:t>
      </w:r>
    </w:p>
    <w:p>
      <w:r>
        <w:t>Three things: (1) pre-compute a nationwide terrain/canopy tile cache to eliminate API latency, (2) add temporal data (seasonal NDVI for deciduous vs. evergreen, construction permits for new buildings), and (3) validate against ground-truth Starlink performance data to calibrate the 25° threshold and constraint weights.</w:t>
      </w:r>
    </w:p>
    <w:p>
      <w:pPr>
        <w:pStyle w:val="Heading2"/>
      </w:pPr>
      <w:r>
        <w:rPr>
          <w:color w:val="1A3A5C"/>
        </w:rPr>
        <w:t>Q: How does the ray-casting handle different obstruction types?</w:t>
      </w:r>
    </w:p>
    <w:p>
      <w:r>
        <w:t>We compute three separate horizon profiles from the same center point: terrain-only (far-field DEM), terrain+canopy, and terrain+canopy+buildings. By comparing profiles per azimuth, we classify each blocked direction as terrain, vegetation, or building without additional data processing. This three-profile approach is both computationally efficient and classification-accurate.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