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0.png" ContentType="image/png"/>
  <Override PartName="/word/media/rId38.png" ContentType="image/png"/>
  <Override PartName="/word/media/rId3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OpenPSN: a multi-group Phase Space Nodal solver</w:t>
      </w:r>
      <w:r>
        <w:br/>
      </w:r>
      <w:r>
        <w:rPr>
          <w:b/>
          <w:bCs/>
        </w:rPr>
        <w:t xml:space="preserve">with rectangular nodes, validated on the</w:t>
      </w:r>
      <w:r>
        <w:br/>
      </w:r>
      <w:r>
        <w:rPr>
          <w:b/>
          <w:bCs/>
        </w:rPr>
        <w:t xml:space="preserve">C5G7 MOX benchmark</w:t>
      </w:r>
    </w:p>
    <w:p>
      <w:pPr>
        <w:pStyle w:val="Author"/>
      </w:pPr>
      <w:r>
        <w:t xml:space="preserve">Yuchao Xu</w:t>
      </w:r>
      <w:r>
        <w:br/>
      </w:r>
      <w:r>
        <w:rPr>
          <w:i/>
          <w:iCs/>
        </w:rPr>
        <w:t xml:space="preserve">University of South China</w:t>
      </w:r>
      <w:r>
        <w:t xml:space="preserve">, China</w:t>
      </w:r>
      <w:r>
        <w:br/>
      </w:r>
      <w:r>
        <w:rPr>
          <w:rStyle w:val="VerbatimChar"/>
        </w:rPr>
        <w:t xml:space="preserve">yxu40@hotmail.com</w:t>
      </w:r>
      <w:r>
        <w:br/>
      </w:r>
      <w:r>
        <w:rPr>
          <w:rStyle w:val="VerbatimChar"/>
        </w:rPr>
        <w:t xml:space="preserve">https://openpsn-ai.com</w:t>
      </w:r>
    </w:p>
    <w:p>
      <w:pPr>
        <w:pStyle w:val="Date"/>
      </w:pPr>
      <w:r>
        <w:t xml:space="preserve">September 2026</w:t>
      </w:r>
      <w:r>
        <w:br/>
      </w:r>
      <w:r>
        <w:t xml:space="preserve">Preprint posted to</w:t>
      </w:r>
      <w:r>
        <w:t xml:space="preserve"> </w:t>
      </w:r>
      <w:r>
        <w:rPr>
          <w:rStyle w:val="VerbatimChar"/>
        </w:rPr>
        <w:t xml:space="preserve">ResearchGate</w:t>
      </w:r>
      <w:r>
        <w:t xml:space="preserve">.</w:t>
      </w:r>
      <w:r>
        <w:t xml:space="preserve"> </w:t>
      </w:r>
      <w:r>
        <w:t xml:space="preserve">Code:</w:t>
      </w:r>
      <w:r>
        <w:t xml:space="preserve"> </w:t>
      </w:r>
      <w:r>
        <w:rPr>
          <w:rStyle w:val="VerbatimChar"/>
        </w:rPr>
        <w:t xml:space="preserve">github.com/xycjscs/OpenPSN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</w:t>
      </w:r>
      <w:r>
        <w:t xml:space="preserve"> </w:t>
      </w:r>
      <w:r>
        <w:rPr>
          <w:b/>
          <w:bCs/>
        </w:rPr>
        <w:t xml:space="preserve">OpenPSN</w:t>
      </w:r>
      <w:r>
        <w:t xml:space="preserve">, a self-contained, multi-group implementation of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Phase Space Nodal</w:t>
      </w:r>
      <w:r>
        <w:t xml:space="preserve"> </w:t>
      </w:r>
      <w:r>
        <w:t xml:space="preserve">(PSN) method for two-dimensional Cartesian</w:t>
      </w:r>
      <w:r>
        <w:t xml:space="preserve"> </w:t>
      </w:r>
      <w:r>
        <w:t xml:space="preserve">neutron transport, together with a rigorous validation against the OECD</w:t>
      </w:r>
      <w:r>
        <w:t xml:space="preserve"> </w:t>
      </w:r>
      <w:r>
        <w:t xml:space="preserve">Nuclear Energy Agency (NEA) C5G7 MOX benchmark. PSN reformulates the transport problem as a coupled</w:t>
      </w:r>
      <w:r>
        <w:t xml:space="preserve"> </w:t>
      </w:r>
      <w:r>
        <w:t xml:space="preserve">system of node-level diffusion-like equations with parabolic intra-nodal flux</w:t>
      </w:r>
      <w:r>
        <w:t xml:space="preserve"> </w:t>
      </w:r>
      <w:r>
        <w:t xml:space="preserve">representations and angular-phase corrections, so that a nodal (coarse-mesh)</w:t>
      </w:r>
      <w:r>
        <w:t xml:space="preserve"> </w:t>
      </w:r>
      <w:r>
        <w:t xml:space="preserve">code can reproduce transport physics at a fraction of the mesh cost of</w:t>
      </w:r>
      <w:r>
        <w:t xml:space="preserve"> </w:t>
      </w:r>
      <w:r>
        <w:t xml:space="preserve">discrete-ordinates or characteristics methods.</w:t>
      </w:r>
    </w:p>
    <w:p>
      <w:pPr>
        <w:pStyle w:val="Abstract"/>
      </w:pPr>
      <w:r>
        <w:t xml:space="preserve">We contribute two complementary results.</w:t>
      </w:r>
      <w:r>
        <w:t xml:space="preserve"> </w:t>
      </w:r>
      <w:r>
        <w:rPr>
          <w:i/>
          <w:iCs/>
        </w:rPr>
        <w:t xml:space="preserve">First</w:t>
      </w:r>
      <w:r>
        <w:t xml:space="preserve">, a faithful, fully-vectorised, sparse re-implementation that</w:t>
      </w:r>
      <w:r>
        <w:t xml:space="preserve"> </w:t>
      </w:r>
      <w:r>
        <w:t xml:space="preserve">reproduces the published PSN paper to within a few pcm on 248 independent</w:t>
      </w:r>
      <w:r>
        <w:t xml:space="preserve"> </w:t>
      </w:r>
      <w:r>
        <w:t xml:space="preserve">eigenvalue data points (checkerboard and boiling-water-reactor (BWR)</w:t>
      </w:r>
      <w:r>
        <w:t xml:space="preserve"> </w:t>
      </w:r>
      <w:r>
        <w:t xml:space="preserve">bundle problems), while</w:t>
      </w:r>
      <w:r>
        <w:t xml:space="preserve"> </w:t>
      </w:r>
      <w:r>
        <w:t xml:space="preserve">eliminating the memory blow-up that made the original dense formulation</w:t>
      </w:r>
      <w:r>
        <w:t xml:space="preserve"> </w:t>
      </w:r>
      <w:r>
        <w:t xml:space="preserve">infeasible: the smallest C5G7 case (2601 nodes,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12</m:t>
        </m:r>
      </m:oMath>
      <w:r>
        <w:t xml:space="preserve">) already needs a</w:t>
      </w:r>
      <w:r>
        <w:t xml:space="preserve"> </w:t>
      </w:r>
      <m:oMath>
        <m:r>
          <m:t>63</m:t>
        </m:r>
        <m:r>
          <m:rPr>
            <m:sty m:val="p"/>
          </m:rPr>
          <m:t>,</m:t>
        </m:r>
        <m:sSup>
          <m:e>
            <m:r>
              <m:t>036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dense system matrix (</w:t>
      </w:r>
      <m:oMath>
        <m:r>
          <m:rPr>
            <m:sty m:val="p"/>
          </m:rPr>
          <m:t>∼</m:t>
        </m:r>
      </m:oMath>
      <w:r>
        <w:t xml:space="preserve">32   before any</w:t>
      </w:r>
      <w:r>
        <w:t xml:space="preserve"> </w:t>
      </w:r>
      <w:r>
        <w:t xml:space="preserve">factorisation), and our sparse form is exact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and assembles the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404</m:t>
        </m:r>
      </m:oMath>
      <w:r>
        <w:t xml:space="preserve">-node refinement in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54  .</w:t>
      </w:r>
      <w:r>
        <w:t xml:space="preserve"> </w:t>
      </w:r>
      <w:r>
        <w:rPr>
          <w:i/>
          <w:iCs/>
        </w:rPr>
        <w:t xml:space="preserve">Second</w:t>
      </w:r>
      <w:r>
        <w:t xml:space="preserve">, a benchmark study of C5G7 organised as two complementary</w:t>
      </w:r>
      <w:r>
        <w:t xml:space="preserve"> </w:t>
      </w:r>
      <w:r>
        <w:t xml:space="preserve">studies. In the</w:t>
      </w:r>
      <w:r>
        <w:t xml:space="preserve"> </w:t>
      </w:r>
      <w:r>
        <w:rPr>
          <w:i/>
          <w:iCs/>
        </w:rPr>
        <w:t xml:space="preserve">pinwise-homogenised</w:t>
      </w:r>
      <w:r>
        <w:t xml:space="preserve"> </w:t>
      </w:r>
      <w:r>
        <w:t xml:space="preserve">study, OpenPSN is swept over</w:t>
      </w:r>
      <w:r>
        <w:t xml:space="preserve"> </w:t>
      </w:r>
      <w:r>
        <w:t xml:space="preserve">spatial sub-division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…</m:t>
        </m:r>
        <m:r>
          <m:t>6</m:t>
        </m:r>
      </m:oMath>
      <w:r>
        <w:t xml:space="preserve"> </w:t>
      </w:r>
      <w:r>
        <w:t xml:space="preserve">and angular order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…</m:t>
        </m:r>
        <m:r>
          <m:t>24</m:t>
        </m:r>
      </m:oMath>
      <w:r>
        <w:t xml:space="preserve"> </w:t>
      </w:r>
      <w:r>
        <w:t xml:space="preserve">against a</w:t>
      </w:r>
      <w:r>
        <w:t xml:space="preserve"> </w:t>
      </w:r>
      <w:r>
        <w:t xml:space="preserve">reference we compute directly with OpenMC on the identical homogenised</w:t>
      </w:r>
      <w:r>
        <w:t xml:space="preserve"> </w:t>
      </w:r>
      <w:r>
        <w:t xml:space="preserve">cross sections (20000 batches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100 k particles, statistical</w:t>
      </w:r>
      <w:r>
        <w:t xml:space="preserve"> </w:t>
      </w:r>
      <w:r>
        <w:t xml:space="preserve">uncertainty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3.5 pcm): the single-assembly error collapses to</w:t>
      </w:r>
      <w:r>
        <w:t xml:space="preserve"> </w:t>
      </w:r>
      <w:r>
        <w:t xml:space="preserve">inside the Monte Carlo standard error by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5</m:t>
        </m:r>
      </m:oMath>
      <w:r>
        <w:t xml:space="preserve">–</w:t>
      </w:r>
      <m:oMath>
        <m:r>
          <m:t>6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8</m:t>
        </m:r>
      </m:oMath>
      <w:r>
        <w:t xml:space="preserve">. In the</w:t>
      </w:r>
      <w:r>
        <w:t xml:space="preserve"> </w:t>
      </w:r>
      <w:r>
        <w:rPr>
          <w:i/>
          <w:iCs/>
        </w:rPr>
        <w:t xml:space="preserve">rectangular-node</w:t>
      </w:r>
      <w:r>
        <w:t xml:space="preserve"> </w:t>
      </w:r>
      <w:r>
        <w:t xml:space="preserve">study we extend the PSN node operators to</w:t>
      </w:r>
      <w:r>
        <w:t xml:space="preserve"> </w:t>
      </w:r>
      <w:r>
        <w:t xml:space="preserve">arbitrary per-node widths so that the circular fuel rod is replaced by an</w:t>
      </w:r>
      <w:r>
        <w:t xml:space="preserve"> </w:t>
      </w:r>
      <w:r>
        <w:t xml:space="preserve">equal-area fuel square inside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rectangular tiling and</w:t>
      </w:r>
      <w:r>
        <w:t xml:space="preserve"> </w:t>
      </w:r>
      <w:r>
        <w:t xml:space="preserve">un-homogenised (material) cross sections are used — removing the</w:t>
      </w:r>
      <w:r>
        <w:t xml:space="preserve"> </w:t>
      </w:r>
      <w:r>
        <w:t xml:space="preserve">homogenisation model from the problem entirely. With un-homogenised</w:t>
      </w:r>
      <w:r>
        <w:t xml:space="preserve"> </w:t>
      </w:r>
      <w:r>
        <w:t xml:space="preserve">material data, the 1/4-core eigenvalue</w:t>
      </w:r>
      <w:r>
        <w:t xml:space="preserve"> </w:t>
      </w:r>
      <w:r>
        <w:t xml:space="preserve">converges monotonically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into the OpenMC explicit-geometry</w:t>
      </w:r>
      <w:r>
        <w:t xml:space="preserve"> </w:t>
      </w:r>
      <w:r>
        <w:t xml:space="preserve">reference, reaching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11.1</m:t>
        </m:r>
      </m:oMath>
      <w:r>
        <w:t xml:space="preserve"> pcm (</w:t>
      </w:r>
      <m:oMath>
        <m:r>
          <m:rPr>
            <m:sty m:val="p"/>
          </m:rPr>
          <m:t>+</m:t>
        </m:r>
        <m:r>
          <m:t>14.7</m:t>
        </m:r>
      </m:oMath>
      <w:r>
        <w:t xml:space="preserve"> pcm vs. the high-fidelity</w:t>
      </w:r>
      <w:r>
        <w:t xml:space="preserve"> </w:t>
      </w:r>
      <w:r>
        <w:t xml:space="preserve">reference</w:t>
      </w:r>
      <w:r>
        <w:t xml:space="preserve"> </w:t>
      </w:r>
      <m:oMath>
        <m:r>
          <m:t>1.18646</m:t>
        </m:r>
      </m:oMath>
      <w:r>
        <w:t xml:space="preserve">) by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61.1</m:t>
        </m:r>
      </m:oMath>
      <w:r>
        <w:t xml:space="preserve"> pcm against the identical</w:t>
      </w:r>
      <w:r>
        <w:t xml:space="preserve"> </w:t>
      </w:r>
      <w:r>
        <w:t xml:space="preserve">rectangular-rod OpenMC geometry; the pin-averaged fission-rate maps agree</w:t>
      </w:r>
      <w:r>
        <w:t xml:space="preserve"> </w:t>
      </w:r>
      <w:r>
        <w:t xml:space="preserve">with OpenMC at the sub-1% RMS level on both geometries.</w:t>
      </w:r>
      <w:r>
        <w:t xml:space="preserve"> </w:t>
      </w:r>
      <w:r>
        <w:t xml:space="preserve">We place both results against the full published landscape of C5G7-2D</w:t>
      </w:r>
      <w:r>
        <w:t xml:space="preserve"> </w:t>
      </w:r>
      <w:r>
        <w:t xml:space="preserve">codes — 20 deterministic codes from the original NEA benchmark, together</w:t>
      </w:r>
      <w:r>
        <w:t xml:space="preserve"> </w:t>
      </w:r>
      <w:r>
        <w:t xml:space="preserve">with P1/SP3/SN/nodal results from the recent literature — and show that</w:t>
      </w:r>
      <w:r>
        <w:t xml:space="preserve"> </w:t>
      </w:r>
      <w:r>
        <w:t xml:space="preserve">the nodal PSN method, once the homogenisation model is controlled, sits</w:t>
      </w:r>
      <w:r>
        <w:t xml:space="preserve"> </w:t>
      </w:r>
      <w:r>
        <w:t xml:space="preserve">inside the high-fidelity MOC reference cluster.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Two deterministic paradigms dominate light-water-reactor core calculations.</w:t>
      </w:r>
      <w:r>
        <w:t xml:space="preserve"> </w:t>
      </w:r>
      <w:r>
        <w:rPr>
          <w:i/>
          <w:iCs/>
        </w:rPr>
        <w:t xml:space="preserve">Discrete-ordinates</w:t>
      </w:r>
      <w:r>
        <w:t xml:space="preserve"> </w:t>
      </w:r>
      <w:r>
        <w:t xml:space="preserve">(SN) and</w:t>
      </w:r>
      <w:r>
        <w:t xml:space="preserve"> </w:t>
      </w:r>
      <w:r>
        <w:rPr>
          <w:i/>
          <w:iCs/>
        </w:rPr>
        <w:t xml:space="preserve">method-of-characteristics</w:t>
      </w:r>
      <w:r>
        <w:t xml:space="preserve"> </w:t>
      </w:r>
      <w:r>
        <w:t xml:space="preserve">(MOC)</w:t>
      </w:r>
      <w:r>
        <w:t xml:space="preserve"> </w:t>
      </w:r>
      <w:r>
        <w:t xml:space="preserve">codes track neutrons on fine meshes and are accurate but expensive and, in the</w:t>
      </w:r>
      <w:r>
        <w:t xml:space="preserve"> </w:t>
      </w:r>
      <w:r>
        <w:t xml:space="preserve">SN case, sensitive to differencing choices.</w:t>
      </w:r>
      <w:r>
        <w:t xml:space="preserve"> </w:t>
      </w:r>
      <w:r>
        <w:rPr>
          <w:i/>
          <w:iCs/>
        </w:rPr>
        <w:t xml:space="preserve">Nodal</w:t>
      </w:r>
      <w:r>
        <w:t xml:space="preserve"> </w:t>
      </w:r>
      <w:r>
        <w:t xml:space="preserve">diffusion codes</w:t>
      </w:r>
      <w:r>
        <w:t xml:space="preserve"> </w:t>
      </w:r>
      <w:r>
        <w:t xml:space="preserve">work on coarse meshes and are cheap and robust, but classical diffusion</w:t>
      </w:r>
      <w:r>
        <w:t xml:space="preserve"> </w:t>
      </w:r>
      <w:r>
        <w:t xml:space="preserve">under-predicts the transport corrections (shielding, pin-wise self</w:t>
      </w:r>
      <w:r>
        <w:t xml:space="preserve"> </w:t>
      </w:r>
      <w:r>
        <w:t xml:space="preserve">shielding) that control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and power shape.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Phase Space Nodal (PSN)</w:t>
      </w:r>
      <w:r>
        <w:t xml:space="preserve"> </w:t>
      </w:r>
      <w:r>
        <w:t xml:space="preserve">method </w:t>
      </w:r>
      <w:r>
        <w:t xml:space="preserve"> </w:t>
      </w:r>
      <w:r>
        <w:t xml:space="preserve">bridges the two.</w:t>
      </w:r>
      <w:r>
        <w:t xml:space="preserve"> </w:t>
      </w:r>
      <w:r>
        <w:t xml:space="preserve">Within each node the scalar flux is represented by a quartic-parabolic</w:t>
      </w:r>
      <w:r>
        <w:t xml:space="preserve"> </w:t>
      </w:r>
      <w:r>
        <w:t xml:space="preserve">profile whose angular dependence is carried through a small set of</w:t>
      </w:r>
      <w:r>
        <w:t xml:space="preserve"> </w:t>
      </w:r>
      <w:r>
        <w:t xml:space="preserve">phase-space (angular) moments with closed-form correction coefficients. The</w:t>
      </w:r>
      <w:r>
        <w:t xml:space="preserve"> </w:t>
      </w:r>
      <w:r>
        <w:t xml:space="preserve">node is eliminated to give explicit relations between surface currents and</w:t>
      </w:r>
      <w:r>
        <w:t xml:space="preserve"> </w:t>
      </w:r>
      <w:r>
        <w:t xml:space="preserve">node sources, and neighbouring nodes are coupled through those currents. The</w:t>
      </w:r>
      <w:r>
        <w:t xml:space="preserve"> </w:t>
      </w:r>
      <w:r>
        <w:t xml:space="preserve">result is a nodal code that carries transport information at a mesh cost close</w:t>
      </w:r>
      <w:r>
        <w:t xml:space="preserve"> </w:t>
      </w:r>
      <w:r>
        <w:t xml:space="preserve">to plain diffusion.</w:t>
      </w:r>
    </w:p>
    <w:p>
      <w:pPr>
        <w:pStyle w:val="BodyText"/>
      </w:pPr>
      <w:r>
        <w:t xml:space="preserve">Two gaps remained. First, the published PSN paper’s reference</w:t>
      </w:r>
      <w:r>
        <w:t xml:space="preserve"> </w:t>
      </w:r>
      <w:r>
        <w:t xml:space="preserve">implementation is not convenient to run to convergence on multi-group,</w:t>
      </w:r>
      <w:r>
        <w:t xml:space="preserve"> </w:t>
      </w:r>
      <w:r>
        <w:t xml:space="preserve">coarse-core problems; in particular, a direct dense assembly of the</w:t>
      </w:r>
      <w:r>
        <w:t xml:space="preserve"> </w:t>
      </w:r>
      <w:r>
        <w:t xml:space="preserve">node-coupling system does not scale (Section 2.2). Second, the method had not been exercised on a standard,</w:t>
      </w:r>
      <w:r>
        <w:t xml:space="preserve"> </w:t>
      </w:r>
      <w:r>
        <w:t xml:space="preserve">multi-code, multi-group benchmark with a published high-fidelity reference.</w:t>
      </w:r>
    </w:p>
    <w:p>
      <w:pPr>
        <w:pStyle w:val="BodyText"/>
      </w:pPr>
      <w:r>
        <w:t xml:space="preserve">In this work we (i) re-implement PSN as a clean, multi-group,</w:t>
      </w:r>
      <w:r>
        <w:t xml:space="preserve"> </w:t>
      </w:r>
      <w:r>
        <w:t xml:space="preserve">YAML-driven Python package (</w:t>
      </w:r>
      <w:r>
        <w:rPr>
          <w:b/>
          <w:bCs/>
        </w:rPr>
        <w:t xml:space="preserve">OpenPSN</w:t>
      </w:r>
      <w:r>
        <w:t xml:space="preserve">), with sparse assembly and</w:t>
      </w:r>
      <w:r>
        <w:t xml:space="preserve"> </w:t>
      </w:r>
      <w:r>
        <w:t xml:space="preserve">vectorised node operators that are verified bit-identical (to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 to</w:t>
      </w:r>
      <w:r>
        <w:t xml:space="preserve"> </w:t>
      </w:r>
      <w:r>
        <w:t xml:space="preserve">the validated loop form; (ii) verify the implementation by reproducing the</w:t>
      </w:r>
      <w:r>
        <w:t xml:space="preserve"> </w:t>
      </w:r>
      <w:r>
        <w:t xml:space="preserve">published PSN results on the checkerboard and BWR bundle problems; and</w:t>
      </w:r>
      <w:r>
        <w:t xml:space="preserve"> </w:t>
      </w:r>
      <w:r>
        <w:t xml:space="preserve">(iii) validate on the C5G7 MOX benchmark, comparing against directly</w:t>
      </w:r>
      <w:r>
        <w:t xml:space="preserve"> </w:t>
      </w:r>
      <w:r>
        <w:t xml:space="preserve">computed OpenMC references (both homogenised and explicit-pin geometry)</w:t>
      </w:r>
      <w:r>
        <w:t xml:space="preserve"> </w:t>
      </w:r>
      <w:r>
        <w:t xml:space="preserve">and the full published code landscape for C5G7-2D.</w:t>
      </w:r>
    </w:p>
    <w:p>
      <w:pPr>
        <w:pStyle w:val="BodyText"/>
      </w:pPr>
      <w:r>
        <w:t xml:space="preserve">The remainder is organised as follows. Section 2 summarises the PSN</w:t>
      </w:r>
      <w:r>
        <w:t xml:space="preserve"> </w:t>
      </w:r>
      <w:r>
        <w:t xml:space="preserve">formulation and the specific implementation choices and optimisations,</w:t>
      </w:r>
      <w:r>
        <w:t xml:space="preserve"> </w:t>
      </w:r>
      <w:r>
        <w:t xml:space="preserve">including the new rectangular-node extension. Section 3 documents the</w:t>
      </w:r>
      <w:r>
        <w:t xml:space="preserve"> </w:t>
      </w:r>
      <w:r>
        <w:t xml:space="preserve">reproduction of the published results. Section 4 describes the C5G7</w:t>
      </w:r>
      <w:r>
        <w:t xml:space="preserve"> </w:t>
      </w:r>
      <w:r>
        <w:t xml:space="preserve">configuration, the data-fidelity check, and two complementary benchmark</w:t>
      </w:r>
      <w:r>
        <w:t xml:space="preserve"> </w:t>
      </w:r>
      <w:r>
        <w:t xml:space="preserve">studies: (i) the pinwise-homogenised nodal model with a full</w:t>
      </w:r>
      <w:r>
        <w:t xml:space="preserve"> </w:t>
      </w:r>
      <w:r>
        <w:t xml:space="preserve">spatial/angular (</w:t>
      </w:r>
      <m:oMath>
        <m:r>
          <m:t>S</m:t>
        </m:r>
        <m:r>
          <m:rPr>
            <m:sty m:val="p"/>
          </m:rPr>
          <m:t>×</m:t>
        </m:r>
        <m:r>
          <m:t>M</m:t>
        </m:r>
      </m:oMath>
      <w:r>
        <w:t xml:space="preserve">) convergence sweep against directly computed</w:t>
      </w:r>
      <w:r>
        <w:t xml:space="preserve"> </w:t>
      </w:r>
      <w:r>
        <w:t xml:space="preserve">OpenMC references, and (ii) the rectangular-node model with explicit</w:t>
      </w:r>
      <w:r>
        <w:t xml:space="preserve"> </w:t>
      </w:r>
      <w:r>
        <w:t xml:space="preserve">(unhomogenised) intra-node fuel/water structure, including flux</w:t>
      </w:r>
      <w:r>
        <w:t xml:space="preserve"> </w:t>
      </w:r>
      <w:r>
        <w:t xml:space="preserve">comparisons against OpenMC and an eigenvalue comparison with the</w:t>
      </w:r>
      <w:r>
        <w:t xml:space="preserve"> </w:t>
      </w:r>
      <w:r>
        <w:t xml:space="preserve">published code landscape. Section 5 concludes, and Appendix A tabulates</w:t>
      </w:r>
      <w:r>
        <w:t xml:space="preserve"> </w:t>
      </w:r>
      <w:r>
        <w:t xml:space="preserve">the full point-by-point reproduction of the published results.</w:t>
      </w:r>
    </w:p>
    <w:bookmarkEnd w:id="9"/>
    <w:bookmarkStart w:id="12" w:name="X0f844ef9d3596d48150872d8d7eb645810c16e3"/>
    <w:p>
      <w:pPr>
        <w:pStyle w:val="Heading1"/>
      </w:pPr>
      <w:r>
        <w:t xml:space="preserve">The PSN method and the OpenPSN implementation</w:t>
      </w:r>
    </w:p>
    <w:bookmarkStart w:id="10" w:name="method-in-brief"/>
    <w:p>
      <w:pPr>
        <w:pStyle w:val="Heading2"/>
      </w:pPr>
      <w:r>
        <w:t xml:space="preserve">Method in brief</w:t>
      </w:r>
    </w:p>
    <w:p>
      <w:pPr>
        <w:pStyle w:val="FirstParagraph"/>
      </w:pPr>
      <w:r>
        <w:t xml:space="preserve">The full theory is given in Ref. </w:t>
      </w:r>
      <w:r>
        <w:t xml:space="preserve">; we summarise only what is</w:t>
      </w:r>
      <w:r>
        <w:t xml:space="preserve"> </w:t>
      </w:r>
      <w:r>
        <w:t xml:space="preserve">needed to read the implementation. The angular flux within a node is expanded</w:t>
      </w:r>
      <w:r>
        <w:t xml:space="preserve"> </w:t>
      </w:r>
      <w:r>
        <w:t xml:space="preserve">in a small basis of angular moments; the scalar flux is taken as a quartic</w:t>
      </w:r>
      <w:r>
        <w:t xml:space="preserve"> </w:t>
      </w:r>
      <w:r>
        <w:t xml:space="preserve">parabola in space whose coefficients are fixed by the node-averaged flux and</w:t>
      </w:r>
      <w:r>
        <w:t xml:space="preserve"> </w:t>
      </w:r>
      <w:r>
        <w:t xml:space="preserve">a set of surface-current (moment) unknowns. Two closed-form coefficients</w:t>
      </w:r>
      <w:r>
        <w:t xml:space="preserve"> </w:t>
      </w:r>
      <w:r>
        <w:t xml:space="preserve">control the intra-nodal shape and the angular phase correction:</w:t>
      </w:r>
    </w:p>
    <w:p>
      <w:pPr>
        <w:pStyle w:val="BodyText"/>
      </w:pPr>
      <w:r>
        <w:t xml:space="preserve">$$\begin{align}
    \alpha_i &amp;\quad\text{(intra-nodal parabolic shape coefficient, Eq.~2.8c of
    Ref.~\cite{psn2027}),}\\
    \beta_i  &amp;= 1-\tfrac{1}{4}\cos\Delta\theta_i-\tfrac{1}{4}\cos 2\theta_i
              -\tfrac{1}{2}\cos 2\theta_i\,\cos\Delta\theta_i
              \quad\text{(generic phase-space coefficient, Eq.~2.8d).}
    \end{align}$$</w:t>
      </w:r>
    </w:p>
    <w:p>
      <w:pPr>
        <w:pStyle w:val="FirstParagraph"/>
      </w:pPr>
      <w:r>
        <w:t xml:space="preserve">The closed form for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Eq. (2.8d) is an equivalent</w:t>
      </w:r>
      <w:r>
        <w:t xml:space="preserve"> </w:t>
      </w:r>
      <w:r>
        <w:t xml:space="preserve">closed-form expression re-derived from the integral form of the</w:t>
      </w:r>
      <w:r>
        <w:t xml:space="preserve"> </w:t>
      </w:r>
      <w:r>
        <w:t xml:space="preserve">phase-space moment, and the two are algebraically identical; we</w:t>
      </w:r>
      <w:r>
        <w:t xml:space="preserve"> </w:t>
      </w:r>
      <w:r>
        <w:t xml:space="preserve">verified the two to</w:t>
      </w:r>
      <w:r>
        <w:t xml:space="preserve"> </w:t>
      </w:r>
      <m:oMath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and use the closed form in the</w:t>
      </w:r>
      <w:r>
        <w:t xml:space="preserve"> </w:t>
      </w:r>
      <w:r>
        <w:t xml:space="preserve">implementation. In the fine-angle limit the coefficient reduces to the</w:t>
      </w:r>
      <w:r>
        <w:t xml:space="preserve"> </w:t>
      </w:r>
      <w:r>
        <w:t xml:space="preserve">single-direction P1 closure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Eliminating the node unknowns yields a sparse system coupling the</w:t>
      </w:r>
      <w:r>
        <w:t xml:space="preserve"> </w:t>
      </w:r>
      <w:r>
        <w:t xml:space="preserve">surface-current (and node-source) unknowns of neighbouring nodes, which is</w:t>
      </w:r>
      <w:r>
        <w:t xml:space="preserve"> </w:t>
      </w:r>
      <w:r>
        <w:t xml:space="preserve">iterated with a standard eigenvalue (inverse-power) driver.</w:t>
      </w:r>
    </w:p>
    <w:bookmarkEnd w:id="10"/>
    <w:bookmarkStart w:id="11" w:name="X1e5c0d084d01d3572739f11c43f9b012c5d1f6b"/>
    <w:p>
      <w:pPr>
        <w:pStyle w:val="Heading2"/>
      </w:pPr>
      <w:r>
        <w:t xml:space="preserve">Implementation and the optimisations we made</w:t>
      </w:r>
    </w:p>
    <w:p>
      <w:pPr>
        <w:pStyle w:val="FirstParagraph"/>
      </w:pPr>
      <w:r>
        <w:t xml:space="preserve">OpenPSN (run as</w:t>
      </w:r>
      <w:r>
        <w:t xml:space="preserve"> </w:t>
      </w:r>
      <w:r>
        <w:rPr>
          <w:rStyle w:val="VerbatimChar"/>
        </w:rPr>
        <w:t xml:space="preserve">python -m psn2d run problem.yaml</w:t>
      </w:r>
      <w:r>
        <w:t xml:space="preserve">) is a</w:t>
      </w:r>
      <w:r>
        <w:t xml:space="preserve"> </w:t>
      </w:r>
      <w:r>
        <w:t xml:space="preserve">pure-Python implementation (NumPy/SciPy, no C extensions, no MPI)</w:t>
      </w:r>
      <w:r>
        <w:t xml:space="preserve"> </w:t>
      </w:r>
      <w:r>
        <w:t xml:space="preserve">accepting any number of energy groups, an arbitrary material grid with</w:t>
      </w:r>
      <w:r>
        <w:t xml:space="preserve"> </w:t>
      </w:r>
      <w:r>
        <w:t xml:space="preserve">independent per-edge reflect/vacuum boundary conditions, and a user-set</w:t>
      </w:r>
      <w:r>
        <w:t xml:space="preserve"> </w:t>
      </w:r>
      <w:r>
        <w:t xml:space="preserve">angular order</w:t>
      </w:r>
      <w:r>
        <w:t xml:space="preserve"> </w:t>
      </w:r>
      <m:oMath>
        <m:r>
          <m:t>M</m:t>
        </m:r>
      </m:oMath>
      <w:r>
        <w:t xml:space="preserve">, spatial sub-division</w:t>
      </w:r>
      <w:r>
        <w:t xml:space="preserve"> </w:t>
      </w:r>
      <m:oMath>
        <m:r>
          <m:t>S</m:t>
        </m:r>
      </m:oMath>
      <w:r>
        <w:t xml:space="preserve">, angular model, and</w:t>
      </w:r>
      <w:r>
        <w:t xml:space="preserve"> </w:t>
      </w:r>
      <w:r>
        <w:t xml:space="preserve">convergence tolerance.</w:t>
      </w:r>
      <w:r>
        <w:t xml:space="preserve"> </w:t>
      </w:r>
      <w:r>
        <w:t xml:space="preserve">The three optimisations that make the method practical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Sparse assembly (fixes the memory blow-up).</w:t>
      </w:r>
      <w:r>
        <w:t xml:space="preserve"> </w:t>
      </w:r>
      <w:r>
        <w:t xml:space="preserve">The nodal coupling matrix has only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9 non-zeroes per row (the node</w:t>
      </w:r>
      <w:r>
        <w:t xml:space="preserve"> </w:t>
      </w:r>
      <w:r>
        <w:t xml:space="preserve">couples to its own face-current unknowns and to its neighbours). For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angular segments per face the system has</w:t>
      </w:r>
      <w:r>
        <w:t xml:space="preserve"> </w:t>
      </w:r>
      <m:oMath>
        <m:r>
          <m:rPr>
            <m:sty m:val="p"/>
          </m:rPr>
          <m:t>∼</m:t>
        </m:r>
        <m:r>
          <m:t>2</m:t>
        </m:r>
        <m:r>
          <m:t>M</m:t>
        </m:r>
        <m:r>
          <m:t> </m:t>
        </m:r>
        <m:sSub>
          <m:e>
            <m:r>
              <m:t>N</m:t>
            </m:r>
          </m:e>
          <m:sub>
            <m:r>
              <m:t>x</m:t>
            </m:r>
          </m:sub>
        </m:sSub>
        <m:sSub>
          <m:e>
            <m:r>
              <m:t>N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unknowns; the</w:t>
      </w:r>
      <w:r>
        <w:t xml:space="preserve"> </w:t>
      </w:r>
      <w:r>
        <w:t xml:space="preserve">smallest C5G7 case (2601 nodes,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12</m:t>
        </m:r>
      </m:oMath>
      <w:r>
        <w:t xml:space="preserve">) already has</w:t>
      </w:r>
      <w:r>
        <w:t xml:space="preserve"> </w:t>
      </w:r>
      <m:oMath>
        <m:r>
          <m:t>63</m:t>
        </m:r>
        <m:r>
          <m:rPr>
            <m:sty m:val="p"/>
          </m:rPr>
          <m:t>,</m:t>
        </m:r>
        <m:r>
          <m:t>036</m:t>
        </m:r>
      </m:oMath>
      <w:r>
        <w:t xml:space="preserve"> </w:t>
      </w:r>
      <w:r>
        <w:t xml:space="preserve">unknowns,</w:t>
      </w:r>
      <w:r>
        <w:t xml:space="preserve"> </w:t>
      </w:r>
      <w:r>
        <w:t xml:space="preserve">so the natural dense</w:t>
      </w:r>
      <w:r>
        <w:t xml:space="preserve"> </w:t>
      </w:r>
      <m:oMath>
        <m:r>
          <m:t>63</m:t>
        </m:r>
        <m:r>
          <m:rPr>
            <m:sty m:val="p"/>
          </m:rPr>
          <m:t>,</m:t>
        </m:r>
        <m:sSup>
          <m:e>
            <m:r>
              <m:t>036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array alone is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32  </w:t>
      </w:r>
      <w:r>
        <w:t xml:space="preserve"> </w:t>
      </w:r>
      <w:r>
        <w:t xml:space="preserve">before any factorisation workspace, and the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refinement (10404 nodes,</w:t>
      </w:r>
      <w:r>
        <w:t xml:space="preserve"> </w:t>
      </w:r>
      <m:oMath>
        <m:r>
          <m:t>250</m:t>
        </m:r>
        <m:r>
          <m:rPr>
            <m:sty m:val="p"/>
          </m:rPr>
          <m:t>,</m:t>
        </m:r>
        <m:r>
          <m:t>920</m:t>
        </m:r>
      </m:oMath>
      <w:r>
        <w:t xml:space="preserve"> </w:t>
      </w:r>
      <w:r>
        <w:t xml:space="preserve">unknowns) would need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504   — the root cause of the original</w:t>
      </w:r>
      <w:r>
        <w:t xml:space="preserve"> </w:t>
      </w:r>
      <w:r>
        <w:t xml:space="preserve">out-of-memory failures. We assemble in coordinate (COO) format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14   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54   respectively) and solve in</w:t>
      </w:r>
      <w:r>
        <w:t xml:space="preserve"> </w:t>
      </w:r>
      <w:r>
        <w:t xml:space="preserve">compressed-sparse-column (CSC) format, so arbitrary node</w:t>
      </w:r>
      <w:r>
        <w:t xml:space="preserve"> </w:t>
      </w:r>
      <w:r>
        <w:t xml:space="preserve">counts are memory-safe; the 10404-node case converges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54 min on a single core.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Vectorised node operators.</w:t>
      </w:r>
      <w:r>
        <w:t xml:space="preserve"> </w:t>
      </w:r>
      <w:r>
        <w:t xml:space="preserve">The node-state map is strictly linear in the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J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unknowns. We probe</w:t>
      </w:r>
      <w:r>
        <w:t xml:space="preserve"> </w:t>
      </w:r>
      <w:r>
        <w:t xml:space="preserve">it with nine basis vectors once to build the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9</m:t>
        </m:r>
      </m:oMath>
      <w:r>
        <w:t xml:space="preserve"> </w:t>
      </w:r>
      <w:r>
        <w:t xml:space="preserve">linear map, then</w:t>
      </w:r>
      <w:r>
        <w:t xml:space="preserve"> </w:t>
      </w:r>
      <w:r>
        <w:t xml:space="preserve">apply it as a batched matrix multiply over all nodes and all groups.</w:t>
      </w:r>
      <w:r>
        <w:t xml:space="preserve"> </w:t>
      </w:r>
      <w:r>
        <w:t xml:space="preserve">The vectorised path is verified identical to the validated scalar loop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on five representative problems</w:t>
      </w:r>
      <w:r>
        <w:t xml:space="preserve"> </w:t>
      </w:r>
      <w:r>
        <w:t xml:space="preserve">(</w:t>
      </w:r>
      <w:r>
        <w:rPr>
          <w:rStyle w:val="VerbatimChar"/>
        </w:rPr>
        <w:t xml:space="preserve">snapshot/drivers/verify_vectorized_equiv.py</w:t>
      </w:r>
      <w:r>
        <w:t xml:space="preserve">), so the speed-up</w:t>
      </w:r>
      <w:r>
        <w:t xml:space="preserve"> </w:t>
      </w:r>
      <w:r>
        <w:t xml:space="preserve">is at zero cost to accuracy.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Rectangular nodes with per-node widths (no</w:t>
      </w:r>
      <w:r>
        <w:rPr>
          <w:b/>
          <w:bCs/>
        </w:rPr>
        <w:t xml:space="preserve"> </w:t>
      </w:r>
      <w:r>
        <w:rPr>
          <w:b/>
          <w:bCs/>
        </w:rPr>
        <w:t xml:space="preserve">homogenisation).</w:t>
      </w:r>
      <w:r>
        <w:t xml:space="preserve"> </w:t>
      </w:r>
      <w:r>
        <w:t xml:space="preserve">The original formulation assumes a uniform node grid, so intra-node</w:t>
      </w:r>
      <w:r>
        <w:t xml:space="preserve"> </w:t>
      </w:r>
      <w:r>
        <w:t xml:space="preserve">geometry must be folded into homogenised cross sections before the</w:t>
      </w:r>
      <w:r>
        <w:t xml:space="preserve"> </w:t>
      </w:r>
      <w:r>
        <w:t xml:space="preserve">solver is ever invoked. OpenPSN extends the node operators to arbitrary</w:t>
      </w:r>
      <w:r>
        <w:t xml:space="preserve"> </w:t>
      </w:r>
      <w:r>
        <w:t xml:space="preserve">per-node widths: each rectangular node carries its own width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 nodes meet corner-to-corner only (no T-junctions). This lets a</w:t>
      </w:r>
      <w:r>
        <w:t xml:space="preserve"> </w:t>
      </w:r>
      <w:r>
        <w:t xml:space="preserve">discrete fuel rod be represented</w:t>
      </w:r>
      <w:r>
        <w:t xml:space="preserve"> </w:t>
      </w:r>
      <w:r>
        <w:rPr>
          <w:i/>
          <w:iCs/>
        </w:rPr>
        <w:t xml:space="preserve">explicitly</w:t>
      </w:r>
      <w:r>
        <w:t xml:space="preserve"> </w:t>
      </w:r>
      <w:r>
        <w:t xml:space="preserve">inside a nodal grid —</w:t>
      </w:r>
      <w:r>
        <w:t xml:space="preserve"> </w:t>
      </w:r>
      <w:r>
        <w:t xml:space="preserve">e.g. the C5G7 1.26 cm circular rod is replaced by an equal-area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0.95713</m:t>
        </m:r>
      </m:oMath>
      <w:r>
        <w:t xml:space="preserve"> cm fuel square centred on the same pitch,</w:t>
      </w:r>
      <w:r>
        <w:t xml:space="preserve"> </w:t>
      </w:r>
      <w:r>
        <w:t xml:space="preserve">giving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rectangle per pin and a globally edge-aligned tiling</w:t>
      </w:r>
      <w:r>
        <w:t xml:space="preserve"> </w:t>
      </w:r>
      <w:r>
        <w:t xml:space="preserve">(17</w:t>
      </w:r>
      <m:oMath>
        <m:r>
          <m:rPr>
            <m:sty m:val="p"/>
          </m:rPr>
          <m:t>×</m:t>
        </m:r>
      </m:oMath>
      <w:r>
        <w:t xml:space="preserve">17 assembly</w:t>
      </w:r>
      <w:r>
        <w:t xml:space="preserve"> </w:t>
      </w:r>
      <m:oMath>
        <m:r>
          <m:rPr>
            <m:sty m:val="p"/>
          </m:rPr>
          <m:t>=</m:t>
        </m:r>
        <m:r>
          <m:t>51</m:t>
        </m:r>
        <m:r>
          <m:rPr>
            <m:sty m:val="p"/>
          </m:rPr>
          <m:t>×</m:t>
        </m:r>
        <m:r>
          <m:t>51</m:t>
        </m:r>
      </m:oMath>
      <w:r>
        <w:t xml:space="preserve"> </w:t>
      </w:r>
      <w:r>
        <w:t xml:space="preserve">nodes; 1/4 core</w:t>
      </w:r>
      <w:r>
        <w:t xml:space="preserve"> </w:t>
      </w:r>
      <m:oMath>
        <m:r>
          <m:rPr>
            <m:sty m:val="p"/>
          </m:rPr>
          <m:t>=</m:t>
        </m:r>
        <m:r>
          <m:t>153</m:t>
        </m:r>
        <m:r>
          <m:rPr>
            <m:sty m:val="p"/>
          </m:rPr>
          <m:t>×</m:t>
        </m:r>
        <m:r>
          <m:t>153</m:t>
        </m:r>
      </m:oMath>
      <w:r>
        <w:t xml:space="preserve">).</w:t>
      </w:r>
      <w:r>
        <w:t xml:space="preserve"> </w:t>
      </w:r>
      <w:r>
        <w:t xml:space="preserve">Un-homogenised 7-group cross sections can then be assigned per</w:t>
      </w:r>
      <w:r>
        <w:t xml:space="preserve"> </w:t>
      </w:r>
      <w:r>
        <w:t xml:space="preserve">rectangle (fuel vs. water), and the homogenisation model — the usual</w:t>
      </w:r>
      <w:r>
        <w:t xml:space="preserve"> </w:t>
      </w:r>
      <w:r>
        <w:t xml:space="preserve">source of nodal bias on MOX benchmarks — is removed from the problem</w:t>
      </w:r>
      <w:r>
        <w:t xml:space="preserve"> </w:t>
      </w:r>
      <w:r>
        <w:t xml:space="preserve">entirely. The rectangular node operators are the same closed-form</w:t>
      </w:r>
      <w:r>
        <w:t xml:space="preserve"> </w:t>
      </w:r>
      <w:r>
        <w:t xml:space="preserve">parabolic/phase-space forms as the square case evaluated on the actual</w:t>
      </w:r>
      <w:r>
        <w:t xml:space="preserve"> </w:t>
      </w:r>
      <w:r>
        <w:t xml:space="preserve">node widths; they are verified node-by-node against the square-node path</w:t>
      </w:r>
      <w:r>
        <w:t xml:space="preserve"> </w:t>
      </w:r>
      <w:r>
        <w:t xml:space="preserve">(which they reduce to exactly when all widths are equal).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t xml:space="preserve">“optimisations”</w:t>
      </w:r>
      <w:r>
        <w:t xml:space="preserve"> </w:t>
      </w:r>
      <w:r>
        <w:t xml:space="preserve">the title refers to: not a change to the</w:t>
      </w:r>
      <w:r>
        <w:t xml:space="preserve"> </w:t>
      </w:r>
      <w:r>
        <w:t xml:space="preserve">physics, but the changes that (a) make the published method reproducible to</w:t>
      </w:r>
      <w:r>
        <w:t xml:space="preserve"> </w:t>
      </w:r>
      <w:r>
        <w:t xml:space="preserve">machine precision and (b) make it runnable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convergence on</w:t>
      </w:r>
      <w:r>
        <w:t xml:space="preserve"> </w:t>
      </w:r>
      <w:r>
        <w:t xml:space="preserve">multi-group coarse cores at commodity memory.</w:t>
      </w:r>
    </w:p>
    <w:bookmarkEnd w:id="11"/>
    <w:bookmarkEnd w:id="12"/>
    <w:bookmarkStart w:id="14" w:name="X1c6301fea4dd563e884e3292f6e3b7f066495f2"/>
    <w:p>
      <w:pPr>
        <w:pStyle w:val="Heading1"/>
      </w:pPr>
      <w:r>
        <w:t xml:space="preserve">Reproduction of the published PSN results</w:t>
      </w:r>
    </w:p>
    <w:p>
      <w:pPr>
        <w:pStyle w:val="FirstParagraph"/>
      </w:pPr>
      <w:r>
        <w:t xml:space="preserve">Before any new application we verify the implementation against the source</w:t>
      </w:r>
      <w:r>
        <w:t xml:space="preserve"> </w:t>
      </w:r>
      <w:r>
        <w:t xml:space="preserve">paper </w:t>
      </w:r>
      <w:r>
        <w:t xml:space="preserve">. We reproduce the two checkerboard eigenvalue</w:t>
      </w:r>
      <w:r>
        <w:t xml:space="preserve"> </w:t>
      </w:r>
      <w:r>
        <w:t xml:space="preserve">convergence tables (Fig. 3, weak/strong absorption) and the BWR 12-pin</w:t>
      </w:r>
      <w:r>
        <w:t xml:space="preserve"> </w:t>
      </w:r>
      <w:r>
        <w:t xml:space="preserve">bundle tables (Figs. 10/12, with and without Gd) to within a few pcm.</w:t>
      </w:r>
      <w:r>
        <w:t xml:space="preserve"> </w:t>
      </w:r>
      <w:r>
        <w:t xml:space="preserve">Table </w:t>
      </w:r>
      <w:hyperlink w:anchor="tab:repro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summarises the maximum deviations.</w:t>
      </w:r>
    </w:p>
    <w:bookmarkStart w:id="13" w:name="tab:repro"/>
    <w:p>
      <w:pPr>
        <w:pStyle w:val="TableCaption"/>
      </w:pPr>
      <w:r>
        <w:t xml:space="preserve">Reproduction of the published PSN paper</w:t>
      </w:r>
      <w:r>
        <w:t xml:space="preserve"> </w:t>
      </w:r>
      <w:r>
        <w:t xml:space="preserve">(Ref. </w:t>
      </w:r>
      <w:r>
        <w:t xml:space="preserve">).</w:t>
      </w:r>
      <w:r>
        <w:t xml:space="preserve"> </w:t>
      </w:r>
      <w:r>
        <w:t xml:space="preserve">“err”</w:t>
      </w:r>
      <w:r>
        <w:t xml:space="preserve"> </w:t>
      </w:r>
      <w:r>
        <w:t xml:space="preserve">is the absolute difference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−</m:t>
        </m:r>
        <m:sSubSup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in pcm. The reference values are</w:t>
      </w:r>
      <w:r>
        <w:t xml:space="preserve"> </w:t>
      </w:r>
      <w:r>
        <w:t xml:space="preserve">the OpenMC values used in the paper 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production of the published PSN paper (Ref. ). “err” is the absolute difference (\kappa_{\mathrm{eff}}-\kappa_{\mathrm{eff}}^{\mathrm{ref}})\times10^5 in pcm. The reference values are the OpenMC values used in the paper 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Published problem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(pcm)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 3 checkerboard, weak (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 3 checkerboard, strong (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 10 BWR bundle, no Gd (2g)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 12 BWR bundle, with Gd (2g)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within plot reading</w:t>
            </w:r>
          </w:p>
        </w:tc>
      </w:tr>
    </w:tbl>
    <w:bookmarkEnd w:id="13"/>
    <w:p>
      <w:pPr>
        <w:pStyle w:val="BodyText"/>
      </w:pPr>
      <w:r>
        <w:t xml:space="preserve">All 248 data points are reproduced in single-process serial runs with peak</w:t>
      </w:r>
      <w:r>
        <w:t xml:space="preserve"> </w:t>
      </w:r>
      <w:r>
        <w:t xml:space="preserve">memory</w:t>
      </w:r>
      <w:r>
        <w:t xml:space="preserve"> </w:t>
      </w:r>
      <w:r>
        <w:t xml:space="preserve">$&lt;\SI{2.5}{\giga\byte}$</w:t>
      </w:r>
      <w:r>
        <w:t xml:space="preserve">. The residuals are at the level of reading the</w:t>
      </w:r>
      <w:r>
        <w:t xml:space="preserve"> </w:t>
      </w:r>
      <w:r>
        <w:t xml:space="preserve">published tables/figures and are uncorrelated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, confirming</w:t>
      </w:r>
      <w:r>
        <w:t xml:space="preserve"> </w:t>
      </w:r>
      <w:r>
        <w:t xml:space="preserve">implementation fidelity. The full point-by-point comparison is tabulated in</w:t>
      </w:r>
      <w:r>
        <w:t xml:space="preserve"> </w:t>
      </w:r>
      <w:r>
        <w:t xml:space="preserve">Appendix A (Tables </w:t>
      </w:r>
      <w:hyperlink w:anchor="tab:appA">
        <w:r>
          <w:rPr>
            <w:rStyle w:val="Hyperlink"/>
          </w:rPr>
          <w:t xml:space="preserve">5</w:t>
        </w:r>
      </w:hyperlink>
      <w:r>
        <w:t xml:space="preserve">–</w:t>
      </w:r>
      <w:hyperlink w:anchor="tab:appD">
        <w:r>
          <w:rPr>
            <w:rStyle w:val="Hyperlink"/>
          </w:rPr>
          <w:t xml:space="preserve">8</w:t>
        </w:r>
      </w:hyperlink>
      <w:r>
        <w:t xml:space="preserve">); the complete data and</w:t>
      </w:r>
      <w:r>
        <w:t xml:space="preserve"> </w:t>
      </w:r>
      <w:r>
        <w:t xml:space="preserve">per-point logs are shipped in</w:t>
      </w:r>
      <w:r>
        <w:t xml:space="preserve"> </w:t>
      </w:r>
      <w:r>
        <w:rPr>
          <w:rStyle w:val="VerbatimChar"/>
        </w:rPr>
        <w:t xml:space="preserve">snapshot/data/</w:t>
      </w:r>
      <w:r>
        <w:t xml:space="preserve">.</w:t>
      </w:r>
    </w:p>
    <w:bookmarkEnd w:id="14"/>
    <w:bookmarkStart w:id="52" w:name="c5g7-mox-benchmark"/>
    <w:p>
      <w:pPr>
        <w:pStyle w:val="Heading1"/>
      </w:pPr>
      <w:r>
        <w:t xml:space="preserve">C5G7 MOX benchmark</w:t>
      </w:r>
    </w:p>
    <w:bookmarkStart w:id="15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C5G7 is the OECD Nuclear Energy Agency (NEA) mixed-oxide (MOX)</w:t>
      </w:r>
      <w:r>
        <w:t xml:space="preserve"> </w:t>
      </w:r>
      <w:r>
        <w:t xml:space="preserve">benchmark </w:t>
      </w:r>
      <w:r>
        <w:t xml:space="preserve">, the standard test for uranium-oxide</w:t>
      </w:r>
      <w:r>
        <w:t xml:space="preserve"> </w:t>
      </w:r>
      <w:r>
        <w:t xml:space="preserve">(UOX)/MOX inter-cell transport: 17</w:t>
      </w:r>
      <m:oMath>
        <m:r>
          <m:rPr>
            <m:sty m:val="p"/>
          </m:rPr>
          <m:t>×</m:t>
        </m:r>
      </m:oMath>
      <w:r>
        <w:t xml:space="preserve">17-pin fuel assemblies on a</w:t>
      </w:r>
      <w:r>
        <w:t xml:space="preserve"> </w:t>
      </w:r>
      <w:r>
        <w:t xml:space="preserve">1.26 cm pin pitch (UO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plus three MOX enrichments), guide tubes and</w:t>
      </w:r>
      <w:r>
        <w:t xml:space="preserve"> </w:t>
      </w:r>
      <w:r>
        <w:t xml:space="preserve">fission chambers, in a 7-group structure. (The C5G7 family was later extended</w:t>
      </w:r>
      <w:r>
        <w:t xml:space="preserve"> </w:t>
      </w:r>
      <w:r>
        <w:t xml:space="preserve">to time-dependent calculations </w:t>
      </w:r>
      <w:r>
        <w:t xml:space="preserve">; we solve the steady 2-D</w:t>
      </w:r>
      <w:r>
        <w:t xml:space="preserve"> </w:t>
      </w:r>
      <w:r>
        <w:t xml:space="preserve">problem.) We solve the</w:t>
      </w:r>
      <w:r>
        <w:t xml:space="preserve"> </w:t>
      </w:r>
      <w:r>
        <w:rPr>
          <w:b/>
          <w:bCs/>
        </w:rPr>
        <w:t xml:space="preserve">C5G7-2D 1/4-core</w:t>
      </w:r>
      <w:r>
        <w:t xml:space="preserve"> </w:t>
      </w:r>
      <w:r>
        <w:t xml:space="preserve">problem: a 2</w:t>
      </w:r>
      <m:oMath>
        <m:r>
          <m:rPr>
            <m:sty m:val="p"/>
          </m:rPr>
          <m:t>×</m:t>
        </m:r>
      </m:oMath>
      <w:r>
        <w:t xml:space="preserve">2 block</w:t>
      </w:r>
      <w:r>
        <w:t xml:space="preserve"> </w:t>
      </w:r>
      <w:r>
        <w:t xml:space="preserve">of fuel assemblies (UO2 on the diagonal, MOX on the anti-diagonal) plus an</w:t>
      </w:r>
      <w:r>
        <w:t xml:space="preserve"> </w:t>
      </w:r>
      <w:r>
        <w:t xml:space="preserve">L-shaped one-assembly water reflector, 51</w:t>
      </w:r>
      <m:oMath>
        <m:r>
          <m:rPr>
            <m:sty m:val="p"/>
          </m:rPr>
          <m:t>×</m:t>
        </m:r>
      </m:oMath>
      <w:r>
        <w:t xml:space="preserve">51 pins, 64.26 cm on a side.</w:t>
      </w:r>
      <w:r>
        <w:t xml:space="preserve"> </w:t>
      </w:r>
      <w:r>
        <w:t xml:space="preserve">Following Ref. </w:t>
      </w:r>
      <w:r>
        <w:t xml:space="preserve"> </w:t>
      </w:r>
      <w:r>
        <w:t xml:space="preserve">we apply</w:t>
      </w:r>
      <w:r>
        <w:t xml:space="preserve"> </w:t>
      </w:r>
      <w:r>
        <w:rPr>
          <w:i/>
          <w:iCs/>
        </w:rPr>
        <w:t xml:space="preserve">vacuum</w:t>
      </w:r>
      <w:r>
        <w:t xml:space="preserve"> </w:t>
      </w:r>
      <w:r>
        <w:t xml:space="preserve">boundaries on the two</w:t>
      </w:r>
      <w:r>
        <w:t xml:space="preserve"> </w:t>
      </w:r>
      <w:r>
        <w:t xml:space="preserve">open (right, top) edges and</w:t>
      </w:r>
      <w:r>
        <w:t xml:space="preserve"> </w:t>
      </w:r>
      <w:r>
        <w:rPr>
          <w:i/>
          <w:iCs/>
        </w:rPr>
        <w:t xml:space="preserve">reflective</w:t>
      </w:r>
      <w:r>
        <w:t xml:space="preserve"> </w:t>
      </w:r>
      <w:r>
        <w:t xml:space="preserve">boundaries on the two symmetry</w:t>
      </w:r>
      <w:r>
        <w:t xml:space="preserve"> </w:t>
      </w:r>
      <w:r>
        <w:t xml:space="preserve">(left, bottom) edges. We model the pin cell in two ways, which define the two</w:t>
      </w:r>
      <w:r>
        <w:t xml:space="preserve"> </w:t>
      </w:r>
      <w:r>
        <w:t xml:space="preserve">studies of Sections 4.3–4.4:</w:t>
      </w:r>
      <w:r>
        <w:t xml:space="preserve"> </w:t>
      </w:r>
      <w:r>
        <w:rPr>
          <w:i/>
          <w:iCs/>
        </w:rPr>
        <w:t xml:space="preserve">(i)</w:t>
      </w:r>
      <w:r>
        <w:t xml:space="preserve"> </w:t>
      </w:r>
      <w:r>
        <w:t xml:space="preserve">the standard pin-homogenised nodal</w:t>
      </w:r>
      <w:r>
        <w:t xml:space="preserve"> </w:t>
      </w:r>
      <w:r>
        <w:t xml:space="preserve">model, in which each pin cell is a single homogenised node</w:t>
      </w:r>
      <w:r>
        <w:t xml:space="preserve"> </w:t>
      </w:r>
      <w:r>
        <w:t xml:space="preserve">(fuel</w:t>
      </w:r>
      <m:oMath>
        <m:r>
          <m:rPr>
            <m:sty m:val="p"/>
          </m:rPr>
          <m:t>+</m:t>
        </m:r>
      </m:oMath>
      <w:r>
        <w:t xml:space="preserve">water for fuel pins; pure water for reflector and guide pins), and</w:t>
      </w:r>
      <w:r>
        <w:t xml:space="preserve"> </w:t>
      </w:r>
      <w:r>
        <w:rPr>
          <w:i/>
          <w:iCs/>
        </w:rPr>
        <w:t xml:space="preserve">(ii)</w:t>
      </w:r>
      <w:r>
        <w:t xml:space="preserve"> </w:t>
      </w:r>
      <w:r>
        <w:t xml:space="preserve">the rectangular-node model of Section 2.2, in which each pin cell</w:t>
      </w:r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array of rectangles carrying the un-homogenised</w:t>
      </w:r>
      <w:r>
        <w:t xml:space="preserve"> </w:t>
      </w:r>
      <w:r>
        <w:t xml:space="preserve">fuel/water materials. The 7-group cross sections are the published C5G7</w:t>
      </w:r>
      <w:r>
        <w:t xml:space="preserve"> </w:t>
      </w:r>
      <w:r>
        <w:t xml:space="preserve">multi-group set in both cases.</w:t>
      </w:r>
    </w:p>
    <w:p>
      <w:pPr>
        <w:pStyle w:val="BodyText"/>
      </w:pPr>
      <w:r>
        <w:t xml:space="preserve">Two reference eigenvalues are in the literature and we report against both:</w:t>
      </w:r>
    </w:p>
    <w:p>
      <w:pPr>
        <w:numPr>
          <w:ilvl w:val="0"/>
          <w:numId w:val="1002"/>
        </w:numPr>
      </w:pPr>
      <m:oMath>
        <m:sSubSup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p>
        </m:sSubSup>
        <m:r>
          <m:rPr>
            <m:sty m:val="p"/>
          </m:rPr>
          <m:t>=</m:t>
        </m:r>
        <m:r>
          <m:t>1.18655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±</m:t>
        </m:r>
        <m:r>
          <m:t>0.008</m:t>
        </m:r>
        <m:r>
          <m:rPr>
            <m:sty m:val="p"/>
          </m:rPr>
          <m:t>%</m:t>
        </m:r>
      </m:oMath>
      <w:r>
        <w:t xml:space="preserve">), the 2-D multi-group</w:t>
      </w:r>
      <w:r>
        <w:t xml:space="preserve"> </w:t>
      </w:r>
      <w:r>
        <w:t xml:space="preserve">MCNP value in the original NEA report </w:t>
      </w:r>
      <w:r>
        <w:t xml:space="preserve">;</w:t>
      </w:r>
    </w:p>
    <w:p>
      <w:pPr>
        <w:numPr>
          <w:ilvl w:val="0"/>
          <w:numId w:val="1002"/>
        </w:numPr>
      </w:pPr>
      <m:oMath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1.18646</m:t>
        </m:r>
      </m:oMath>
      <w:r>
        <w:t xml:space="preserve"> </w:t>
      </w:r>
      <w:r>
        <w:t xml:space="preserve">(1.186456 to the printed digit), the 2-D</w:t>
      </w:r>
      <w:r>
        <w:t xml:space="preserve"> </w:t>
      </w:r>
      <w:r>
        <w:t xml:space="preserve">resolved-fuel-pin high-fidelity value of McGraw</w:t>
      </w:r>
      <w: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al.</w:t>
      </w:r>
      <w:r>
        <w:t xml:space="preserve"> </w:t>
      </w:r>
      <w:r>
        <w:t xml:space="preserve">, quoted as the reference in the INL Rattlesnake</w:t>
      </w:r>
      <w:r>
        <w:t xml:space="preserve"> </w:t>
      </w:r>
      <w:r>
        <w:t xml:space="preserve">convergence study </w:t>
      </w:r>
      <w:r>
        <w:t xml:space="preserve">, which explicitly notes that the</w:t>
      </w:r>
      <w:r>
        <w:t xml:space="preserve"> </w:t>
      </w:r>
      <w:r>
        <w:t xml:space="preserve">benchmark-report value 1.18655 is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10 pcm high and converges to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1.186446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1 pcm from the McGraw reference).</w:t>
      </w:r>
    </w:p>
    <w:p>
      <w:pPr>
        <w:pStyle w:val="FirstParagraph"/>
      </w:pPr>
      <w:r>
        <w:t xml:space="preserve">We report all deviations against 1.18646 (the more accurate high-fidelity</w:t>
      </w:r>
      <w:r>
        <w:t xml:space="preserve"> </w:t>
      </w:r>
      <w:r>
        <w:t xml:space="preserve">value). The original NEA report tabulated relative errors against its MCNP</w:t>
      </w:r>
      <w:r>
        <w:t xml:space="preserve"> </w:t>
      </w:r>
      <w:r>
        <w:t xml:space="preserve">reference 1.18655; re-referenced to 1.18646, those values shift by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9 pcm.</w:t>
      </w:r>
    </w:p>
    <w:bookmarkEnd w:id="15"/>
    <w:bookmarkStart w:id="16" w:name="X5d84fcc13b39bc86ff641e40ac62677e3b2982e"/>
    <w:p>
      <w:pPr>
        <w:pStyle w:val="Heading2"/>
      </w:pPr>
      <w:r>
        <w:t xml:space="preserve">Data-fidelity check (independent of the solver)</w:t>
      </w:r>
    </w:p>
    <w:p>
      <w:pPr>
        <w:pStyle w:val="FirstParagraph"/>
      </w:pPr>
      <w:r>
        <w:t xml:space="preserve">Before trusting any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, we validate the 7-group data wiring with a</w:t>
      </w:r>
      <w:r>
        <w:t xml:space="preserve"> </w:t>
      </w:r>
      <w:r>
        <w:t xml:space="preserve">solver-independent test: the infinite-medium multiplication factor of the</w:t>
      </w:r>
      <w:r>
        <w:t xml:space="preserve"> </w:t>
      </w:r>
      <w:r>
        <w:t xml:space="preserve">homogenised UO2 pin, computed directly from the cross-section matrices,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e</m:t>
          </m:r>
          <m:r>
            <m:rPr>
              <m:sty m:val="p"/>
            </m:rPr>
            <m:t>i</m:t>
          </m:r>
          <m:r>
            <m:rPr>
              <m:sty m:val="p"/>
            </m:rPr>
            <m:t>g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n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rPr>
                                  <m:sty m:val="p"/>
                                </m:rPr>
                                <m:t>Σ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t>χ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OpenPSN gives</w:t>
      </w:r>
      <w: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2</m:t>
            </m:r>
          </m:sup>
        </m:sSubSup>
        <m:r>
          <m:rPr>
            <m:sty m:val="p"/>
          </m:rPr>
          <m:t>=</m:t>
        </m:r>
        <m:r>
          <m:t>1.32936</m:t>
        </m:r>
      </m:oMath>
      <w:r>
        <w:t xml:space="preserve">, which matches</w:t>
      </w:r>
      <w:r>
        <w:t xml:space="preserve"> </w:t>
      </w:r>
      <w:r>
        <w:rPr>
          <w:i/>
          <w:iCs/>
        </w:rPr>
        <w:t xml:space="preserve">to the printed digit</w:t>
      </w:r>
      <w:r>
        <w:t xml:space="preserve"> </w:t>
      </w:r>
      <w:r>
        <w:t xml:space="preserve">the UO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–</w:t>
      </w:r>
      <m:oMath>
        <m:r>
          <m:t>0.95</m:t>
        </m:r>
        <m:r>
          <m:t>ρ</m:t>
        </m:r>
      </m:oMath>
      <w:r>
        <w:t xml:space="preserve"> </w:t>
      </w:r>
      <w:r>
        <w:t xml:space="preserve">single-assembly</w:t>
      </w:r>
      <w:r>
        <w:t xml:space="preserve"> </w:t>
      </w:r>
      <w:r>
        <w:t xml:space="preserve">nTRACER reference</w:t>
      </w:r>
      <w:r>
        <w:t xml:space="preserve"> </w:t>
      </w:r>
      <m:oMath>
        <m:r>
          <m:t>1.32936</m:t>
        </m:r>
      </m:oMath>
      <w:r>
        <w:t xml:space="preserve"> </w:t>
      </w:r>
      <w:r>
        <w:t xml:space="preserve">tabulated in SPHINCS </w:t>
      </w:r>
      <w:r>
        <w:t xml:space="preserve"> </w:t>
      </w:r>
      <w:r>
        <w:t xml:space="preserve">(Table 1). (The nominal-</w:t>
      </w:r>
      <m:oMath>
        <m:r>
          <m:t>ρ</m:t>
        </m:r>
      </m:oMath>
      <w:r>
        <w:t xml:space="preserve"> </w:t>
      </w:r>
      <w:r>
        <w:t xml:space="preserve">UO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row is</w:t>
      </w:r>
      <w:r>
        <w:t xml:space="preserve"> </w:t>
      </w:r>
      <m:oMath>
        <m:r>
          <m:t>1.33367</m:t>
        </m:r>
      </m:oMath>
      <w:r>
        <w:t xml:space="preserve">; the</w:t>
      </w:r>
      <w:r>
        <w:t xml:space="preserve"> </w:t>
      </w:r>
      <m:oMath>
        <m:r>
          <m:t>431</m:t>
        </m:r>
      </m:oMath>
      <w:r>
        <w:t xml:space="preserve">-pcm spread between the two rows is the moderator-density</w:t>
      </w:r>
      <w:r>
        <w:t xml:space="preserve"> </w:t>
      </w:r>
      <w:r>
        <w:t xml:space="preserve">effect.) This digit-for-digit agreement is the single strongest check</w:t>
      </w:r>
      <w:r>
        <w:t xml:space="preserve"> </w:t>
      </w:r>
      <w:r>
        <w:t xml:space="preserve">that the group ordering, scattering matrix, fission spectrum and</w:t>
      </w:r>
      <w:r>
        <w:t xml:space="preserve"> </w:t>
      </w:r>
      <w:r>
        <w:t xml:space="preserve">source construction are all wired correctly.</w:t>
      </w:r>
    </w:p>
    <w:bookmarkEnd w:id="16"/>
    <w:bookmarkStart w:id="30" w:name="Xb931f19db74c5e57bc2eb6e408a3f79835f08db"/>
    <w:p>
      <w:pPr>
        <w:pStyle w:val="Heading2"/>
      </w:pPr>
      <w:r>
        <w:t xml:space="preserve">Study I — the pinwise-homogenised nodal model</w:t>
      </w:r>
    </w:p>
    <w:p>
      <w:pPr>
        <w:pStyle w:val="FirstParagraph"/>
      </w:pPr>
      <w:r>
        <w:t xml:space="preserve">The standard nodal treatment folds each pin’s fuel and moderator into a</w:t>
      </w:r>
      <w:r>
        <w:t xml:space="preserve"> </w:t>
      </w:r>
      <w:r>
        <w:t xml:space="preserve">single homogenised node. We follow that model here so that the only</w:t>
      </w:r>
      <w:r>
        <w:t xml:space="preserve"> </w:t>
      </w:r>
      <w:r>
        <w:t xml:space="preserve">discretisation knobs left are the angular order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spatial</w:t>
      </w:r>
      <w:r>
        <w:t xml:space="preserve"> </w:t>
      </w:r>
      <w:r>
        <w:t xml:space="preserve">sub-division</w:t>
      </w:r>
      <w:r>
        <w:t xml:space="preserve"> </w:t>
      </w:r>
      <m:oMath>
        <m:r>
          <m:t>S</m:t>
        </m:r>
      </m:oMath>
      <w:r>
        <w:t xml:space="preserve">, and so that the result can be compared against a Monte</w:t>
      </w:r>
      <w:r>
        <w:t xml:space="preserve"> </w:t>
      </w:r>
      <w:r>
        <w:t xml:space="preserve">Carlo run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homogenised data.</w:t>
      </w:r>
    </w:p>
    <w:bookmarkStart w:id="17" w:name="pinwise-homogenisation."/>
    <w:p>
      <w:pPr>
        <w:pStyle w:val="Heading4"/>
      </w:pPr>
      <w:r>
        <w:t xml:space="preserve">Pinwise homogenisation.</w:t>
      </w:r>
    </w:p>
    <w:p>
      <w:pPr>
        <w:pStyle w:val="FirstParagraph"/>
      </w:pPr>
      <w:r>
        <w:t xml:space="preserve">The homogenised 7-group cross sections are built pin by pin with the</w:t>
      </w:r>
      <w:r>
        <w:t xml:space="preserve"> </w:t>
      </w:r>
      <w:r>
        <w:rPr>
          <w:b/>
          <w:bCs/>
        </w:rPr>
        <w:t xml:space="preserve">BWW flux-weighted</w:t>
      </w:r>
      <w:r>
        <w:t xml:space="preserve"> </w:t>
      </w:r>
      <w:r>
        <w:t xml:space="preserve">recipe: an infinite-medium pin</w:t>
      </w:r>
      <w:r>
        <w:t xml:space="preserve"> </w:t>
      </w:r>
      <w:r>
        <w:t xml:space="preserve">cell (</w:t>
      </w:r>
      <m:oMath>
        <m:r>
          <m:t>r</m:t>
        </m:r>
        <m:r>
          <m:rPr>
            <m:sty m:val="p"/>
          </m:rPr>
          <m:t>=</m:t>
        </m:r>
        <m:r>
          <m:t>0.54</m:t>
        </m:r>
      </m:oMath>
      <w:r>
        <w:t xml:space="preserve"> cm, 1.26 cm pitch) is solved with an explicit fuel/water</w:t>
      </w:r>
      <w:r>
        <w:t xml:space="preserve"> </w:t>
      </w:r>
      <w:r>
        <w:t xml:space="preserve">MOC calculation, and the fuel-group cross sections are weighted by the</w:t>
      </w:r>
      <w:r>
        <w:t xml:space="preserve"> </w:t>
      </w:r>
      <w:r>
        <w:t xml:space="preserve">self-shielded infinite-medium flux (scattering by the source-group flux).</w:t>
      </w:r>
      <w:r>
        <w:t xml:space="preserve"> </w:t>
      </w:r>
      <w:r>
        <w:t xml:space="preserve">Guide tubes are area-weighted. This is the same self-shielding-aware</w:t>
      </w:r>
      <w:r>
        <w:t xml:space="preserve"> </w:t>
      </w:r>
      <w:r>
        <w:t xml:space="preserve">homogenisation that nodal practice uses in production; it removes most of</w:t>
      </w:r>
      <w:r>
        <w:t xml:space="preserve"> </w:t>
      </w:r>
      <w:r>
        <w:t xml:space="preserve">the resonance self-shielding error that a plain area-weighted average</w:t>
      </w:r>
      <w:r>
        <w:t xml:space="preserve"> </w:t>
      </w:r>
      <w:r>
        <w:t xml:space="preserve">leaves behind.</w:t>
      </w:r>
    </w:p>
    <w:bookmarkEnd w:id="17"/>
    <w:bookmarkStart w:id="18" w:name="monte-carlo-reference-computed-directly."/>
    <w:p>
      <w:pPr>
        <w:pStyle w:val="Heading4"/>
      </w:pPr>
      <w:r>
        <w:t xml:space="preserve">Monte Carlo reference, computed directly.</w:t>
      </w:r>
    </w:p>
    <w:p>
      <w:pPr>
        <w:pStyle w:val="FirstParagraph"/>
      </w:pPr>
      <w:r>
        <w:t xml:space="preserve">Rather than lean on a published reference for the homogenised model, we</w:t>
      </w:r>
      <w:r>
        <w:t xml:space="preserve"> </w:t>
      </w:r>
      <w:r>
        <w:t xml:space="preserve">compute the reference ourselves with OpenMC </w:t>
      </w:r>
      <w:r>
        <w:t xml:space="preserve"> </w:t>
      </w:r>
      <w:r>
        <w:t xml:space="preserve">on the exact</w:t>
      </w:r>
      <w:r>
        <w:t xml:space="preserve"> </w:t>
      </w:r>
      <w:r>
        <w:t xml:space="preserve">same pinwise-homogenised cross sections, so that the two sides differ only</w:t>
      </w:r>
      <w:r>
        <w:t xml:space="preserve"> </w:t>
      </w:r>
      <w:r>
        <w:t xml:space="preserve">in the transport method. Each calculation uses 20000 active batches of</w:t>
      </w:r>
      <w:r>
        <w:t xml:space="preserve"> </w:t>
      </w:r>
      <w:r>
        <w:t xml:space="preserve">100000 particles (collision estimator, 48 threads); the eigenvalue is the</w:t>
      </w:r>
      <w:r>
        <w:t xml:space="preserve"> </w:t>
      </w:r>
      <w:r>
        <w:t xml:space="preserve">mean over the last 20000 batches and its standard error is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which we audit to be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3.4–3.5</w:t>
      </w:r>
      <w:r>
        <w:t xml:space="preserve"> </w:t>
      </w:r>
      <w:r>
        <w:t xml:space="preserve">pcm. We run four problems: the single UO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assembly and the 1/4 core,</w:t>
      </w:r>
      <w:r>
        <w:t xml:space="preserve"> </w:t>
      </w:r>
      <w:r>
        <w:t xml:space="preserve">each with</w:t>
      </w:r>
      <w:r>
        <w:t xml:space="preserve"> </w:t>
      </w:r>
      <w:r>
        <w:rPr>
          <w:i/>
          <w:iCs/>
        </w:rPr>
        <w:t xml:space="preserve">homogenised</w:t>
      </w:r>
      <w:r>
        <w:t xml:space="preserve"> </w:t>
      </w:r>
      <w:r>
        <w:t xml:space="preserve">(pin-node) and</w:t>
      </w:r>
      <w:r>
        <w:t xml:space="preserve"> </w:t>
      </w:r>
      <w:r>
        <w:rPr>
          <w:i/>
          <w:iCs/>
        </w:rPr>
        <w:t xml:space="preserve">explicit</w:t>
      </w:r>
      <w:r>
        <w:t xml:space="preserve"> </w:t>
      </w:r>
      <w:r>
        <w:t xml:space="preserve">(resolved</w:t>
      </w:r>
      <w:r>
        <w:t xml:space="preserve"> </w:t>
      </w:r>
      <w:r>
        <w:t xml:space="preserve">fuel/water) geometry. The two</w:t>
      </w:r>
      <w:r>
        <w:t xml:space="preserve"> </w:t>
      </w:r>
      <w:r>
        <w:rPr>
          <w:i/>
          <w:iCs/>
        </w:rPr>
        <w:t xml:space="preserve">homogenised</w:t>
      </w:r>
      <w:r>
        <w:t xml:space="preserve"> </w:t>
      </w:r>
      <w:r>
        <w:t xml:space="preserve">runs are the reference for</w:t>
      </w:r>
      <w:r>
        <w:t xml:space="preserve"> </w:t>
      </w:r>
      <w:r>
        <w:t xml:space="preserve">the pinwise-homogenised PSN sweep below:</w:t>
      </w:r>
    </w:p>
    <w:p>
      <w:pPr>
        <w:numPr>
          <w:ilvl w:val="0"/>
          <w:numId w:val="1003"/>
        </w:numPr>
      </w:pPr>
      <m:oMath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=</m:t>
        </m:r>
        <m:r>
          <m:t>1.3336285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±</m:t>
        </m:r>
        <m:r>
          <m:t>3.5</m:t>
        </m:r>
      </m:oMath>
      <w:r>
        <w:t xml:space="preserve"> pcm) (single UO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assembly),</w:t>
      </w:r>
    </w:p>
    <w:p>
      <w:pPr>
        <w:numPr>
          <w:ilvl w:val="0"/>
          <w:numId w:val="1003"/>
        </w:numPr>
      </w:pPr>
      <m:oMath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p>
        </m:sSubSup>
        <m:r>
          <m:rPr>
            <m:sty m:val="p"/>
          </m:rPr>
          <m:t>=</m:t>
        </m:r>
        <m:r>
          <m:t>1.1868230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±</m:t>
        </m:r>
        <m:r>
          <m:t>3.4</m:t>
        </m:r>
      </m:oMath>
      <w:r>
        <w:t xml:space="preserve"> pcm) (1/4 core).</w:t>
      </w:r>
    </w:p>
    <w:bookmarkEnd w:id="18"/>
    <w:bookmarkStart w:id="24" w:name="openpsn-stimes-m-sweep."/>
    <w:p>
      <w:pPr>
        <w:pStyle w:val="Heading4"/>
      </w:pPr>
      <w:r>
        <w:t xml:space="preserve">OpenPSN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sweep.</w:t>
      </w:r>
    </w:p>
    <w:p>
      <w:pPr>
        <w:pStyle w:val="FirstParagraph"/>
      </w:pPr>
      <w:r>
        <w:t xml:space="preserve">We sweep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}</m:t>
        </m:r>
      </m:oMath>
      <w:r>
        <w:t xml:space="preserve"> </w:t>
      </w:r>
      <w:r>
        <w:t xml:space="preserve">on the</w:t>
      </w:r>
      <w:r>
        <w:t xml:space="preserve"> </w:t>
      </w:r>
      <w:r>
        <w:t xml:space="preserve">single UO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assembly (nodes</w:t>
      </w:r>
      <w:r>
        <w:t xml:space="preserve"> </w:t>
      </w:r>
      <m:oMath>
        <m:r>
          <m:rPr>
            <m:sty m:val="p"/>
          </m:rPr>
          <m:t>(</m:t>
        </m:r>
        <m:r>
          <m:t>17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) and on the 1/4 core (nodes</w:t>
      </w:r>
      <w:r>
        <w:t xml:space="preserve"> </w:t>
      </w:r>
      <m:oMath>
        <m:r>
          <m:rPr>
            <m:sty m:val="p"/>
          </m:rPr>
          <m:t>(</m:t>
        </m:r>
        <m:r>
          <m:t>51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), with the BWW homogenised cross sections. Table </w:t>
      </w:r>
      <w:hyperlink w:anchor="tab:bww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gives the deviation from the OpenMC homogenised reference in pcm.</w:t>
      </w:r>
      <w:r>
        <w:t xml:space="preserve"> </w:t>
      </w:r>
      <w:r>
        <w:t xml:space="preserve">(Large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corner cases exceed the</w:t>
      </w:r>
      <w:r>
        <w:t xml:space="preserve"> </w:t>
      </w:r>
      <m:oMath>
        <m:r>
          <m:t>64</m:t>
        </m:r>
      </m:oMath>
      <w:r>
        <w:t xml:space="preserve"> GB working set during LU</w:t>
      </w:r>
      <w:r>
        <w:t xml:space="preserve"> </w:t>
      </w:r>
      <w:r>
        <w:t xml:space="preserve">fill-in and are marked OOM; they do not affect the convergence read-off,</w:t>
      </w:r>
      <w:r>
        <w:t xml:space="preserve"> </w:t>
      </w:r>
      <w:r>
        <w:t xml:space="preserve">which is taken along each row.)</w:t>
      </w:r>
    </w:p>
    <w:bookmarkStart w:id="19" w:name="tab:bww"/>
    <w:p>
      <w:pPr>
        <w:pStyle w:val="TableCaption"/>
      </w:pPr>
      <w:r>
        <w:t xml:space="preserve">Pinwise-homogenised (BWW) OpenPSN,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in pcm versus the</w:t>
      </w:r>
      <w:r>
        <w:t xml:space="preserve"> </w:t>
      </w:r>
      <w:r>
        <w:t xml:space="preserve">OpenMC</w:t>
      </w:r>
      <w:r>
        <w:t xml:space="preserve"> </w:t>
      </w:r>
      <w:r>
        <w:rPr>
          <w:i/>
          <w:iCs/>
        </w:rPr>
        <w:t xml:space="preserve">homogenised</w:t>
      </w:r>
      <w:r>
        <w:t xml:space="preserve"> </w:t>
      </w:r>
      <w:r>
        <w:t xml:space="preserve">reference: ASM vs. </w:t>
      </w:r>
      <m:oMath>
        <m:r>
          <m:t>1.3336285</m:t>
        </m:r>
      </m:oMath>
      <w:r>
        <w:t xml:space="preserve">,</w:t>
      </w:r>
      <w:r>
        <w:t xml:space="preserve"> </w:t>
      </w:r>
      <w:r>
        <w:t xml:space="preserve">CORE vs. </w:t>
      </w:r>
      <m:oMath>
        <m:r>
          <m:t>1.1868230</m:t>
        </m:r>
      </m:oMath>
      <w:r>
        <w:t xml:space="preserve"> </w:t>
      </w:r>
      <w:r>
        <w:t xml:space="preserve">(each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3.5 pcm standard error). OOM = LU</w:t>
      </w:r>
      <w:r>
        <w:t xml:space="preserve"> </w:t>
      </w:r>
      <w:r>
        <w:t xml:space="preserve">fill-in exceeded the 64 GB cap; the minimum-|</w:t>
      </w:r>
      <m:oMath>
        <m:r>
          <m:rPr>
            <m:sty m:val="p"/>
          </m:rPr>
          <m:t>Δ</m:t>
        </m:r>
      </m:oMath>
      <w:r>
        <w:t xml:space="preserve">| point per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row is</w:t>
      </w:r>
      <w:r>
        <w:t xml:space="preserve"> </w:t>
      </w:r>
      <w:r>
        <w:t xml:space="preserve">marked in Fig. </w:t>
      </w:r>
      <w:hyperlink w:anchor="fig:bww">
        <w:r>
          <w:rPr>
            <w:rStyle w:val="Hyperlink"/>
          </w:rPr>
          <w:t xml:space="preserve">1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nwise-homogenised (BWW) OpenPSN, \Delta in pcm versus the OpenMC homogenised reference: ASM vs. 1.3336285, CORE vs. 1.1868230 (each \approx3.5 pcm standard error). OOM = LU fill-in exceeded the 64 GB cap; the minimum-|\Delta| point per S row is marked in Fig. 1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t xml:space="preserve">​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Single UO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assembly (ref. </w:t>
            </w:r>
            <m:oMath>
              <m:r>
                <m:t>1.3336285</m:t>
              </m:r>
            </m:oMath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13.9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15.0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22.4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23.4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23.7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23.8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18.8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8.0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15.2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15.3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15.0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14.5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22.6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6.3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5.8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5.3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4.6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24.2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3.0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1.4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25.0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4.6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25.4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5.5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1.8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</w:tr>
      <w:tr>
        <w:tc>
          <w:tcPr>
            <w:gridSpan w:val="7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C5G7-2D 1/4 core (ref. </w:t>
            </w:r>
            <m:oMath>
              <m:r>
                <m:t>1.1868230</m:t>
              </m:r>
            </m:oMath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97.6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59.5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37.1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31.3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28.8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26.7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96.3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56.1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33.6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26.6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23.6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93.8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50.1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26.8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92.8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47.6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92.3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OOM</w:t>
            </w:r>
          </w:p>
        </w:tc>
      </w:tr>
    </w:tbl>
    <w:bookmarkEnd w:id="19"/>
    <w:p>
      <w:pPr>
        <w:pStyle w:val="BodyText"/>
      </w:pPr>
      <w:r>
        <w:t xml:space="preserve">Two features stand out (Fig. </w:t>
      </w:r>
      <w:hyperlink w:anchor="fig:bww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Assembly: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 sits high and positive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14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25</m:t>
        </m:r>
      </m:oMath>
      <w:r>
        <w:t xml:space="preserve"> pcm, the angular cliff) and rises slightly with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whereas the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region forms a floor that climbs monotonically from</w:t>
      </w:r>
      <w:r>
        <w:t xml:space="preserve"> </w:t>
      </w:r>
      <m:oMath>
        <m:r>
          <m:rPr>
            <m:sty m:val="p"/>
          </m:rPr>
          <m:t>−</m:t>
        </m:r>
        <m:r>
          <m:t>24</m:t>
        </m:r>
      </m:oMath>
      <w:r>
        <w:t xml:space="preserve"> pcm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back toward zero, and by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5</m:t>
        </m:r>
      </m:oMath>
      <w:r>
        <w:t xml:space="preserve">–</w:t>
      </w:r>
      <m:oMath>
        <m:r>
          <m:t>6</m:t>
        </m:r>
      </m:oMath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8</m:t>
        </m:r>
      </m:oMath>
      <w:r>
        <w:t xml:space="preserve"> </w:t>
      </w:r>
      <w:r>
        <w:t xml:space="preserve">point is inside the OpenMC reference standard error (</w:t>
      </w:r>
      <m:oMath>
        <m:r>
          <m:rPr>
            <m:sty m:val="p"/>
          </m:rPr>
          <m:t>±</m:t>
        </m:r>
        <m:r>
          <m:t>3.5</m:t>
        </m:r>
      </m:oMath>
      <w:r>
        <w:t xml:space="preserve"> pcm).</w:t>
      </w:r>
      <w:r>
        <w:t xml:space="preserve"> </w:t>
      </w:r>
      <w:r>
        <w:rPr>
          <w:i/>
          <w:iCs/>
        </w:rPr>
        <w:t xml:space="preserve">Core: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 is pinned low (</w:t>
      </w:r>
      <m:oMath>
        <m:r>
          <m:rPr>
            <m:sty m:val="p"/>
          </m:rPr>
          <m:t>−</m:t>
        </m:r>
        <m:r>
          <m:t>98</m:t>
        </m:r>
        <m:r>
          <m:rPr>
            <m:sty m:val="p"/>
          </m:rPr>
          <m:t>…</m:t>
        </m:r>
        <m:r>
          <m:rPr>
            <m:sty m:val="p"/>
          </m:rPr>
          <m:t>−</m:t>
        </m:r>
        <m:r>
          <m:t>92</m:t>
        </m:r>
      </m:oMath>
      <w:r>
        <w:t xml:space="preserve"> pcm) and the</w:t>
      </w:r>
      <w:r>
        <w:t xml:space="preserve"> </w:t>
      </w:r>
      <w:r>
        <w:t xml:space="preserve">error recovers monotonically with</w:t>
      </w:r>
      <w:r>
        <w:t xml:space="preserve"> </w:t>
      </w:r>
      <m:oMath>
        <m:r>
          <m:t>M</m:t>
        </m:r>
      </m:oMath>
      <w:r>
        <w:t xml:space="preserve">; the best point per row marches</w:t>
      </w:r>
      <w:r>
        <w:t xml:space="preserve"> </w:t>
      </w:r>
      <w:r>
        <w:t xml:space="preserve">diagonally (</w:t>
      </w:r>
      <m:oMath>
        <m:r>
          <m:t>M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down to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5</m:t>
        </m:r>
      </m:oMath>
      <w:r>
        <w:t xml:space="preserve">), and even the</w:t>
      </w:r>
      <w:r>
        <w:t xml:space="preserve"> </w:t>
      </w:r>
      <w:r>
        <w:t xml:space="preserve">best attainable core point is</w:t>
      </w:r>
      <w:r>
        <w:t xml:space="preserve"> </w:t>
      </w:r>
      <m:oMath>
        <m:r>
          <m:rPr>
            <m:sty m:val="p"/>
          </m:rPr>
          <m:t>−</m:t>
        </m:r>
        <m:r>
          <m:t>23.6</m:t>
        </m:r>
      </m:oMath>
      <w:r>
        <w:t xml:space="preserve"> pcm, i.e. the pinwise-homogenised</w:t>
      </w:r>
      <w:r>
        <w:t xml:space="preserve"> </w:t>
      </w:r>
      <w:r>
        <w:t xml:space="preserve">core sits a little low of the OpenMC homogenised reference while the</w:t>
      </w:r>
      <w:r>
        <w:t xml:space="preserve"> </w:t>
      </w:r>
      <w:r>
        <w:t xml:space="preserve">assembly converges to it from both sides.</w:t>
      </w:r>
    </w:p>
    <w:bookmarkStart w:id="23" w:name="fig:bww"/>
    <w:p>
      <w:pPr>
        <w:pStyle w:val="CaptionedFigure"/>
      </w:pPr>
      <w:r>
        <w:drawing>
          <wp:inline>
            <wp:extent cx="5013960" cy="219360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5g7_bww_sweep_heat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193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Pinwise-homogenised (BWW) OpenPSN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in pcm versus the</w:t>
      </w:r>
      <w:r>
        <w:t xml:space="preserve"> </w:t>
      </w:r>
      <w:r>
        <w:t xml:space="preserve">OpenMC homogenised reference, as a function of angular order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(horizontal) and spatial sub-division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(vertical). Left: single UO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assembly (ref. </w:t>
      </w:r>
      <m:oMath>
        <m:r>
          <m:t>1.3336285</m:t>
        </m:r>
      </m:oMath>
      <w:r>
        <w:t xml:space="preserve">, 35 of 36 points computed); right: C5G7-2D</w:t>
      </w:r>
      <w:r>
        <w:t xml:space="preserve"> </w:t>
      </w:r>
      <w:r>
        <w:t xml:space="preserve">1/4 core (ref. </w:t>
      </w:r>
      <m:oMath>
        <m:r>
          <m:t>1.1868230</m:t>
        </m:r>
      </m:oMath>
      <w:r>
        <w:t xml:space="preserve">, 17 of 36 points; grey cells exceeded the</w:t>
      </w:r>
      <w:r>
        <w:t xml:space="preserve"> </w:t>
      </w:r>
      <w:r>
        <w:t xml:space="preserve">64 GB LU fill-in cap). White box/dot marks the minimum-|</w:t>
      </w:r>
      <m:oMath>
        <m:r>
          <m:rPr>
            <m:sty m:val="p"/>
          </m:rPr>
          <m:t>Δ</m:t>
        </m:r>
      </m:oMath>
      <w:r>
        <w:t xml:space="preserve">| point</w:t>
      </w:r>
      <w:r>
        <w:t xml:space="preserve"> </w:t>
      </w:r>
      <w:r>
        <w:t xml:space="preserve">per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row.</w:t>
      </w:r>
    </w:p>
    <w:bookmarkEnd w:id="23"/>
    <w:bookmarkEnd w:id="24"/>
    <w:bookmarkStart w:id="29" w:name="X695e7572993db9535725ca586cb24a5713da735"/>
    <w:p>
      <w:pPr>
        <w:pStyle w:val="Heading4"/>
      </w:pPr>
      <w:r>
        <w:t xml:space="preserve">Flux distribution at the best core point.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23.6</m:t>
        </m:r>
      </m:oMath>
      <w:r>
        <w:t xml:space="preserve"> pcm best core point is not a sum of compensating local</w:t>
      </w:r>
      <w:r>
        <w:t xml:space="preserve"> </w:t>
      </w:r>
      <w:r>
        <w:t xml:space="preserve">errors: Figure </w:t>
      </w:r>
      <w:hyperlink w:anchor="fig:bwwflux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compares its pin-averaged fission</w:t>
      </w:r>
      <w:r>
        <w:t xml:space="preserve"> </w:t>
      </w:r>
      <w:r>
        <w:t xml:space="preserve">source map</w:t>
      </w:r>
      <w:r>
        <w:t xml:space="preserve"> </w:t>
      </w:r>
      <m:oMath>
        <m:r>
          <m:t>ν</m:t>
        </m:r>
        <m:sSub>
          <m:e>
            <m:r>
              <m:rPr>
                <m:sty m:val="p"/>
              </m:rPr>
              <m:t>Σ</m:t>
            </m:r>
          </m:e>
          <m:sub>
            <m:r>
              <m:t>f</m:t>
            </m:r>
          </m:sub>
        </m:sSub>
        <m:r>
          <m:t>ϕ</m:t>
        </m:r>
      </m:oMath>
      <w:r>
        <w:t xml:space="preserve"> </w:t>
      </w:r>
      <w:r>
        <w:t xml:space="preserve">against the OpenMC homogenised-geometry</w:t>
      </w:r>
      <w:r>
        <w:t xml:space="preserve"> </w:t>
      </w:r>
      <w:r>
        <w:t xml:space="preserve">reference on the same BWW cross sections (the two differ only in the</w:t>
      </w:r>
      <w:r>
        <w:t xml:space="preserve"> </w:t>
      </w:r>
      <w:r>
        <w:t xml:space="preserve">transport method; the reference field is the converged 7-group flux of</w:t>
      </w:r>
      <w:r>
        <w:t xml:space="preserve"> </w:t>
      </w:r>
      <w:r>
        <w:t xml:space="preserve">the same Monte Carlo calculation contracted with the homogenised</w:t>
      </w:r>
      <w:r>
        <w:t xml:space="preserve"> </w:t>
      </w:r>
      <m:oMath>
        <m:r>
          <m:t>ν</m:t>
        </m:r>
        <m:sSub>
          <m:e>
            <m:r>
              <m:rPr>
                <m:sty m:val="p"/>
              </m:rPr>
              <m:t>Σ</m:t>
            </m:r>
          </m:e>
          <m:sub>
            <m:r>
              <m:t>f</m:t>
            </m:r>
          </m:sub>
        </m:sSub>
      </m:oMath>
      <w:r>
        <w:t xml:space="preserve">, so both maps are the same quantity, each normalised to</w:t>
      </w:r>
      <w:r>
        <w:t xml:space="preserve"> </w:t>
      </w:r>
      <w:r>
        <w:t xml:space="preserve">unit sum). Over all</w:t>
      </w:r>
      <w:r>
        <w:t xml:space="preserve"> </w:t>
      </w:r>
      <m:oMath>
        <m:r>
          <m:t>1056</m:t>
        </m:r>
      </m:oMath>
      <w:r>
        <w:t xml:space="preserve"> </w:t>
      </w:r>
      <w:r>
        <w:t xml:space="preserve">fuel pins the relative error has a mean of</w:t>
      </w:r>
      <w:r>
        <w:t xml:space="preserve"> </w:t>
      </w:r>
      <m:oMath>
        <m:r>
          <m:rPr>
            <m:sty m:val="p"/>
          </m:rPr>
          <m:t>−</m:t>
        </m:r>
        <m:r>
          <m:t>0.00</m:t>
        </m:r>
        <m:r>
          <m:rPr>
            <m:sty m:val="p"/>
          </m:rPr>
          <m:t>%</m:t>
        </m:r>
      </m:oMath>
      <w:r>
        <w:t xml:space="preserve">, an RMS of</w:t>
      </w:r>
      <w:r>
        <w:t xml:space="preserve"> </w:t>
      </w:r>
      <m:oMath>
        <m:r>
          <m:t>0.12</m:t>
        </m:r>
        <m:r>
          <m:rPr>
            <m:sty m:val="p"/>
          </m:rPr>
          <m:t>%</m:t>
        </m:r>
      </m:oMath>
      <w:r>
        <w:t xml:space="preserve"> </w:t>
      </w:r>
      <w:r>
        <w:t xml:space="preserve">and a maximum of</w:t>
      </w:r>
      <w:r>
        <w:t xml:space="preserve"> </w:t>
      </w:r>
      <m:oMath>
        <m:r>
          <m:t>0.45</m:t>
        </m:r>
        <m:r>
          <m:rPr>
            <m:sty m:val="p"/>
          </m:rPr>
          <m:t>%</m:t>
        </m:r>
      </m:oMath>
      <w:r>
        <w:t xml:space="preserve">, with no</w:t>
      </w:r>
      <w:r>
        <w:t xml:space="preserve"> </w:t>
      </w:r>
      <w:r>
        <w:t xml:space="preserve">systematic offset between the UO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MOX assemblies (quadrant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+</m:t>
        </m:r>
        <m:r>
          <m:t>0.02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0.02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0.01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0.03</m:t>
        </m:r>
        <m:r>
          <m:rPr>
            <m:sty m:val="p"/>
          </m:rPr>
          <m:t>%</m:t>
        </m:r>
      </m:oMath>
      <w:r>
        <w:t xml:space="preserve">). The homogenised-core</w:t>
      </w:r>
      <w:r>
        <w:t xml:space="preserve"> </w:t>
      </w:r>
      <w:r>
        <w:t xml:space="preserve">eigenvalue therefore sits where the local physics says it should: the</w:t>
      </w:r>
      <w:r>
        <w:t xml:space="preserve"> </w:t>
      </w:r>
      <m:oMath>
        <m:r>
          <m:rPr>
            <m:sty m:val="p"/>
          </m:rPr>
          <m:t>−</m:t>
        </m:r>
        <m:r>
          <m:t>23.6</m:t>
        </m:r>
      </m:oMath>
      <w:r>
        <w:t xml:space="preserve"> pcm is a small, smooth, method-level bias, not a cancellation.</w:t>
      </w:r>
    </w:p>
    <w:bookmarkStart w:id="28" w:name="fig:bwwflux"/>
    <w:p>
      <w:pPr>
        <w:pStyle w:val="CaptionedFigure"/>
      </w:pPr>
      <w:r>
        <w:drawing>
          <wp:inline>
            <wp:extent cx="5227320" cy="170603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5g7_bww_flux_compar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706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Pin-averaged fission source maps</w:t>
      </w:r>
      <w:r>
        <w:t xml:space="preserve"> </w:t>
      </w:r>
      <m:oMath>
        <m:r>
          <m:t>ν</m:t>
        </m:r>
        <m:sSub>
          <m:e>
            <m:r>
              <m:rPr>
                <m:sty m:val="p"/>
              </m:rPr>
              <m:t>Σ</m:t>
            </m:r>
          </m:e>
          <m:sub>
            <m:r>
              <m:t>f</m:t>
            </m:r>
          </m:sub>
        </m:sSub>
        <m:r>
          <m:t>ϕ</m:t>
        </m:r>
      </m:oMath>
      <w:r>
        <w:t xml:space="preserve"> </w:t>
      </w:r>
      <w:r>
        <w:t xml:space="preserve">at the best</w:t>
      </w:r>
      <w:r>
        <w:t xml:space="preserve"> </w:t>
      </w:r>
      <w:r>
        <w:t xml:space="preserve">pinwise-homogenised core point (M16, S=2) vs. the OpenMC</w:t>
      </w:r>
      <w:r>
        <w:t xml:space="preserve"> </w:t>
      </w:r>
      <w:r>
        <w:t xml:space="preserve">homogenised-geometry reference on the same BWW XS, C5G7-2D 1/4 core</w:t>
      </w:r>
      <w:r>
        <w:t xml:space="preserve"> </w:t>
      </w:r>
      <w:r>
        <w:t xml:space="preserve">(fuel region, 34</w:t>
      </w:r>
      <m:oMath>
        <m:r>
          <m:rPr>
            <m:sty m:val="p"/>
          </m:rPr>
          <m:t>×</m:t>
        </m:r>
      </m:oMath>
      <w:r>
        <w:t xml:space="preserve">34 pins). Left: OpenPSN; centre: OpenMC</w:t>
      </w:r>
      <w:r>
        <w:t xml:space="preserve"> </w:t>
      </w:r>
      <w:r>
        <w:t xml:space="preserve">reference; right: relative error (fuel pins only, both maps normalised</w:t>
      </w:r>
      <w:r>
        <w:t xml:space="preserve"> </w:t>
      </w:r>
      <w:r>
        <w:t xml:space="preserve">to unit sum).</w:t>
      </w:r>
    </w:p>
    <w:bookmarkEnd w:id="28"/>
    <w:bookmarkEnd w:id="29"/>
    <w:bookmarkEnd w:id="30"/>
    <w:bookmarkStart w:id="49" w:name="X2117ea23a981841fcde4df53d83462f658246b1"/>
    <w:p>
      <w:pPr>
        <w:pStyle w:val="Heading2"/>
      </w:pPr>
      <w:r>
        <w:t xml:space="preserve">Study II — the rectangular-node model with explicit</w:t>
      </w:r>
      <w:r>
        <w:t xml:space="preserve"> </w:t>
      </w:r>
      <w:r>
        <w:t xml:space="preserve">intra-node structure</w:t>
      </w:r>
    </w:p>
    <w:bookmarkStart w:id="35" w:name="motivation-and-layout."/>
    <w:p>
      <w:pPr>
        <w:pStyle w:val="Heading4"/>
      </w:pPr>
      <w:r>
        <w:t xml:space="preserve">Motivation and layout.</w:t>
      </w:r>
    </w:p>
    <w:p>
      <w:pPr>
        <w:pStyle w:val="FirstParagraph"/>
      </w:pPr>
      <w:r>
        <w:t xml:space="preserve">Study I isolates the discretisation error of the nodal PSN model, but its</w:t>
      </w:r>
      <w:r>
        <w:t xml:space="preserve"> </w:t>
      </w:r>
      <w:r>
        <w:t xml:space="preserve">eigenvalue is still anchored to whatever homogenisation model feeds it. To</w:t>
      </w:r>
      <w:r>
        <w:t xml:space="preserve"> </w:t>
      </w:r>
      <w:r>
        <w:t xml:space="preserve">remove that model from the problem we use the rectangular-node extension</w:t>
      </w:r>
      <w:r>
        <w:t xml:space="preserve"> </w:t>
      </w:r>
      <w:r>
        <w:t xml:space="preserve">of Section 2.2: the circular C5G7 fuel rod (</w:t>
      </w:r>
      <m:oMath>
        <m:r>
          <m:t>r</m:t>
        </m:r>
        <m:r>
          <m:rPr>
            <m:sty m:val="p"/>
          </m:rPr>
          <m:t>=</m:t>
        </m:r>
        <m:r>
          <m:t>0.54</m:t>
        </m:r>
      </m:oMath>
      <w:r>
        <w:t xml:space="preserve"> cm) is replaced by an</w:t>
      </w:r>
      <w:r>
        <w:t xml:space="preserve"> </w:t>
      </w:r>
      <w:r>
        <w:t xml:space="preserve">equal-area fuel square of side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0.95713</m:t>
        </m:r>
      </m:oMath>
      <w:r>
        <w:t xml:space="preserve"> cm centred on</w:t>
      </w:r>
      <w:r>
        <w:t xml:space="preserve"> </w:t>
      </w:r>
      <w:r>
        <w:t xml:space="preserve">the same 1.26 cm pitch, so that every pin cell becomes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array</w:t>
      </w:r>
      <w:r>
        <w:t xml:space="preserve"> </w:t>
      </w:r>
      <w:r>
        <w:t xml:space="preserve">of rectangles (one fuel square plus eight water strips) and the whole core</w:t>
      </w:r>
      <w:r>
        <w:t xml:space="preserve"> </w:t>
      </w:r>
      <w:r>
        <w:t xml:space="preserve">is a globally edge-aligned rectangular tiling. Figure </w:t>
      </w:r>
      <w:hyperlink w:anchor="fig:layou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the layout. The pin pitch, the rod positions (including Gd pins,</w:t>
      </w:r>
      <w:r>
        <w:t xml:space="preserve"> </w:t>
      </w:r>
      <w:r>
        <w:t xml:space="preserve">which are the centre rectangle of their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block) and the total</w:t>
      </w:r>
      <w:r>
        <w:t xml:space="preserve"> </w:t>
      </w:r>
      <w:r>
        <w:t xml:space="preserve">fuel area are unchanged; the layout was verified node by node — all</w:t>
      </w:r>
      <w:r>
        <w:t xml:space="preserve"> </w:t>
      </w:r>
      <w:r>
        <w:t xml:space="preserve">2601 fuel-centre rectangles of the 1/4 core coincide with the 2601 fuel</w:t>
      </w:r>
      <w:r>
        <w:t xml:space="preserve"> </w:t>
      </w:r>
      <w:r>
        <w:t xml:space="preserve">pins of the homogenised grid, and the total area reproduces</w:t>
      </w:r>
      <w:r>
        <w:t xml:space="preserve"> </w:t>
      </w:r>
      <m:oMath>
        <m:r>
          <m:t>4129.35</m:t>
        </m:r>
        <m:r>
          <m:t>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exactly. Un-homogenised 7-group</w:t>
      </w:r>
      <w:r>
        <w:t xml:space="preserve"> </w:t>
      </w:r>
      <w:r>
        <w:t xml:space="preserve">cross sections (fuel, water, Gd, MOX) are then assigned directly to the</w:t>
      </w:r>
      <w:r>
        <w:t xml:space="preserve"> </w:t>
      </w:r>
      <w:r>
        <w:t xml:space="preserve">rectangles. The spatial resolution is fixed by this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tiling, so</w:t>
      </w:r>
      <w:r>
        <w:t xml:space="preserve"> </w:t>
      </w:r>
      <w:r>
        <w:t xml:space="preserve">the only open discretisation knob is the angular order</w:t>
      </w:r>
      <w:r>
        <w:t xml:space="preserve"> </w:t>
      </w:r>
      <m:oMath>
        <m:r>
          <m:t>M</m:t>
        </m:r>
      </m:oMath>
      <w:r>
        <w:t xml:space="preserve">; there is no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axis in this model.</w:t>
      </w:r>
    </w:p>
    <w:bookmarkStart w:id="34" w:name="fig:layout"/>
    <w:p>
      <w:pPr>
        <w:pStyle w:val="CaptionedFigure"/>
      </w:pPr>
      <w:r>
        <w:drawing>
          <wp:inline>
            <wp:extent cx="5227320" cy="152971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5g7_rect_layou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529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Rectangularisation of the C5G7 pin cell. (a) Original circular</w:t>
      </w:r>
      <w:r>
        <w:t xml:space="preserve"> </w:t>
      </w:r>
      <w:r>
        <w:t xml:space="preserve">rod in its pitch cell (water gap 0.09 cm). (b) Equal-area fuel square</w:t>
      </w:r>
      <w:r>
        <w:t xml:space="preserve"> </w:t>
      </w:r>
      <w:r>
        <w:t xml:space="preserve">(</w:t>
      </w:r>
      <m:oMath>
        <m:r>
          <m:t>s</m:t>
        </m:r>
        <m:r>
          <m:rPr>
            <m:sty m:val="p"/>
          </m:rPr>
          <m:t>=</m:t>
        </m:r>
        <m:r>
          <m:t>0.95713</m:t>
        </m:r>
      </m:oMath>
      <w:r>
        <w:t xml:space="preserve"> cm,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 with the pin cell split into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rectangles; the four corner water blocks of neighbouring pins meet at a</w:t>
      </w:r>
      <w:r>
        <w:t xml:space="preserve"> </w:t>
      </w:r>
      <w:r>
        <w:t xml:space="preserve">single node corner, so the tiling has no T-junctions. (c) Global tiling:</w:t>
      </w:r>
      <w:r>
        <w:t xml:space="preserve"> </w:t>
      </w:r>
      <w:r>
        <w:t xml:space="preserve">a</w:t>
      </w:r>
      <w:r>
        <w:t xml:space="preserve"> </w:t>
      </w:r>
      <m:oMath>
        <m:r>
          <m:t>17</m:t>
        </m:r>
        <m:r>
          <m:rPr>
            <m:sty m:val="p"/>
          </m:rPr>
          <m:t>×</m:t>
        </m:r>
        <m:r>
          <m:t>17</m:t>
        </m:r>
      </m:oMath>
      <w:r>
        <w:t xml:space="preserve"> </w:t>
      </w:r>
      <w:r>
        <w:t xml:space="preserve">assembly is</w:t>
      </w:r>
      <w:r>
        <w:t xml:space="preserve"> </w:t>
      </w:r>
      <m:oMath>
        <m:r>
          <m:t>51</m:t>
        </m:r>
        <m:r>
          <m:rPr>
            <m:sty m:val="p"/>
          </m:rPr>
          <m:t>×</m:t>
        </m:r>
        <m:r>
          <m:t>51</m:t>
        </m:r>
        <m:r>
          <m:rPr>
            <m:sty m:val="p"/>
          </m:rPr>
          <m:t>=</m:t>
        </m:r>
        <m:r>
          <m:t>2601</m:t>
        </m:r>
      </m:oMath>
      <w:r>
        <w:t xml:space="preserve"> </w:t>
      </w:r>
      <w:r>
        <w:t xml:space="preserve">rectangles and the 1/4 core</w:t>
      </w:r>
      <w:r>
        <w:t xml:space="preserve"> </w:t>
      </w:r>
      <w:r>
        <w:t xml:space="preserve">is</w:t>
      </w:r>
      <w:r>
        <w:t xml:space="preserve"> </w:t>
      </w:r>
      <m:oMath>
        <m:r>
          <m:t>153</m:t>
        </m:r>
        <m:r>
          <m:rPr>
            <m:sty m:val="p"/>
          </m:rPr>
          <m:t>×</m:t>
        </m:r>
        <m:r>
          <m:t>153</m:t>
        </m:r>
        <m:r>
          <m:rPr>
            <m:sty m:val="p"/>
          </m:rPr>
          <m:t>=</m:t>
        </m:r>
        <m:r>
          <m:t>23409</m:t>
        </m:r>
      </m:oMath>
      <w:r>
        <w:t xml:space="preserve">.</w:t>
      </w:r>
    </w:p>
    <w:bookmarkEnd w:id="34"/>
    <w:bookmarkEnd w:id="35"/>
    <w:bookmarkStart w:id="37" w:name="angular-convergence-m-sweep."/>
    <w:p>
      <w:pPr>
        <w:pStyle w:val="Heading4"/>
      </w:pPr>
      <w:r>
        <w:t xml:space="preserve">Angular convergence (</w:t>
      </w:r>
      <m:oMath>
        <m:r>
          <m:t>M</m:t>
        </m:r>
      </m:oMath>
      <w:r>
        <w:t xml:space="preserve"> </w:t>
      </w:r>
      <w:r>
        <w:t xml:space="preserve">sweep).</w:t>
      </w:r>
    </w:p>
    <w:p>
      <w:pPr>
        <w:pStyle w:val="FirstParagraph"/>
      </w:pPr>
      <w:r>
        <w:t xml:space="preserve">Table </w:t>
      </w:r>
      <w:hyperlink w:anchor="tab:rec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gives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sweep with un-homogenised material XS on the single UO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assembly (</w:t>
      </w:r>
      <m:oMath>
        <m:r>
          <m:t>51</m:t>
        </m:r>
        <m:r>
          <m:rPr>
            <m:sty m:val="p"/>
          </m:rPr>
          <m:t>×</m:t>
        </m:r>
        <m:r>
          <m:t>51</m:t>
        </m:r>
      </m:oMath>
      <w:r>
        <w:t xml:space="preserve"> </w:t>
      </w:r>
      <w:r>
        <w:t xml:space="preserve">rect. nodes, all edges</w:t>
      </w:r>
      <w:r>
        <w:t xml:space="preserve"> </w:t>
      </w:r>
      <w:r>
        <w:t xml:space="preserve">reflective) and on the 1/4 core (</w:t>
      </w:r>
      <m:oMath>
        <m:r>
          <m:t>153</m:t>
        </m:r>
        <m:r>
          <m:rPr>
            <m:sty m:val="p"/>
          </m:rPr>
          <m:t>×</m:t>
        </m:r>
        <m:r>
          <m:t>153</m:t>
        </m:r>
      </m:oMath>
      <w:r>
        <w:t xml:space="preserve"> </w:t>
      </w:r>
      <w:r>
        <w:t xml:space="preserve">rect. nodes, reflective on</w:t>
      </w:r>
      <w:r>
        <w:t xml:space="preserve"> </w:t>
      </w:r>
      <w:r>
        <w:t xml:space="preserve">the symmetry edges, vacuum on the open edges), all converged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|</m:t>
        </m:r>
      </m:oMath>
      <w:r>
        <w:t xml:space="preserve">.</w:t>
      </w:r>
    </w:p>
    <w:bookmarkStart w:id="36" w:name="tab:rect"/>
    <w:p>
      <w:pPr>
        <w:pStyle w:val="TableCaption"/>
      </w:pPr>
      <w:r>
        <w:t xml:space="preserve">Rectangular-node OpenPSN (un-homogenised material XS).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in pcm</w:t>
      </w:r>
      <w:r>
        <w:t xml:space="preserve"> </w:t>
      </w:r>
      <w:r>
        <w:t xml:space="preserve">versus the explicitly noted reference. References: the directly computed</w:t>
      </w:r>
      <w:r>
        <w:t xml:space="preserve"> </w:t>
      </w:r>
      <w:r>
        <w:t xml:space="preserve">OpenMC explicit-geometry runs on the same un-homogenised data — fuel</w:t>
      </w:r>
      <w:r>
        <w:t xml:space="preserve"> </w:t>
      </w:r>
      <w:r>
        <w:t xml:space="preserve">circle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water annulus, and the identical rectangular-rod geometry of the</w:t>
      </w:r>
      <w:r>
        <w:t xml:space="preserve"> </w:t>
      </w:r>
      <w:r>
        <w:t xml:space="preserve">PSN nodes — the high-fidelity reference</w:t>
      </w:r>
      <w:r>
        <w:t xml:space="preserve"> </w:t>
      </w:r>
      <m:oMath>
        <m:r>
          <m:t>1.18646</m:t>
        </m:r>
      </m:oMath>
      <w:r>
        <w:t xml:space="preserve"> </w:t>
      </w:r>
      <w:r>
        <w:t xml:space="preserve">of McGraw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, and nTRACER (SPHINCS).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tangular-node OpenPSN (un-homogenised material XS). \Delta in pcm versus the explicitly noted reference. References: the directly computed OpenMC explicit-geometry runs on the same un-homogenised data — fuel circle + water annulus, and the identical rectangular-rod geometry of the PSN nodes — the high-fidelity reference 1.18646 of McGraw et al. , and nTRACER (SPHINCS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​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Single UO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assembly,</w:t>
            </w:r>
            <w:r>
              <w:rPr>
                <w:i/>
                <w:iCs/>
              </w:rPr>
              <w:t xml:space="preserve"> </w:t>
            </w:r>
            <m:oMath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1.3337164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1.3340330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1.3343536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vs OpenMC, explicit pin (</w:t>
            </w:r>
            <m:oMath>
              <m:r>
                <m:t>1.3334947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22.2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53.8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85.9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vs OpenMC, rect. rods (</w:t>
            </w:r>
            <m:oMath>
              <m:r>
                <m:t>1.3347260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101.0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69.3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37.2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vs nTRACER (</w:t>
            </w:r>
            <m:oMath>
              <m:r>
                <m:t>1.33367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4.8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36.3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68.9</m:t>
              </m:r>
            </m:oMath>
            <w:r>
              <w:t xml:space="preserve">​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C5G7-2D 1/4 core,</w:t>
            </w:r>
            <w:r>
              <w:rPr>
                <w:i/>
                <w:iCs/>
              </w:rPr>
              <w:t xml:space="preserve"> </w:t>
            </w:r>
            <m:oMath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1.1853742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1.1861084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1.1866067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vs OpenMC, explicit pin (</w:t>
            </w:r>
            <m:oMath>
              <m:r>
                <m:t>1.1864955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112.1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38.7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11.1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vs OpenMC, rect. rods (</w:t>
            </w:r>
            <m:oMath>
              <m:r>
                <m:t>1.1872176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184.3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110.9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61.1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vs McGraw high-fidelity (</w:t>
            </w:r>
            <m:oMath>
              <m:r>
                <m:t>1.18646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108.6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35.2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14.7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vs nTRACER (</w:t>
            </w:r>
            <m:oMath>
              <m:r>
                <m:t>1.18653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115.6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42.2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7.7</m:t>
              </m:r>
            </m:oMath>
            <w:r>
              <w:t xml:space="preserve">​</w:t>
            </w:r>
          </w:p>
        </w:tc>
      </w:tr>
    </w:tbl>
    <w:bookmarkEnd w:id="36"/>
    <w:p>
      <w:pPr>
        <w:pStyle w:val="BodyText"/>
      </w:pPr>
      <w:r>
        <w:t xml:space="preserve">On the 1/4 core the eigenvalue climbs monotonically toward the reference:</w:t>
      </w:r>
      <w:r>
        <w:t xml:space="preserve"> </w:t>
      </w:r>
      <m:oMath>
        <m:r>
          <m:rPr>
            <m:sty m:val="p"/>
          </m:rPr>
          <m:t>−</m:t>
        </m:r>
        <m:r>
          <m:t>112.1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38.7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11.1</m:t>
        </m:r>
      </m:oMath>
      <w:r>
        <w:t xml:space="preserve"> pcm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→</m:t>
        </m:r>
        <m:r>
          <m:t>12</m:t>
        </m:r>
        <m:r>
          <m:rPr>
            <m:sty m:val="p"/>
          </m:rPr>
          <m:t>→</m:t>
        </m:r>
        <m:r>
          <m:t>16</m:t>
        </m:r>
      </m:oMath>
      <w:r>
        <w:t xml:space="preserve">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∼</m:t>
        </m:r>
        <m:r>
          <m:t>3</m:t>
        </m:r>
      </m:oMath>
      <w:r>
        <w:t xml:space="preserve"> </w:t>
      </w:r>
      <w:r>
        <w:t xml:space="preserve">of the OpenMC standard</w:t>
      </w:r>
      <w:r>
        <w:t xml:space="preserve"> </w:t>
      </w:r>
      <w:r>
        <w:t xml:space="preserve">error (</w:t>
      </w:r>
      <m:oMath>
        <m:r>
          <m:rPr>
            <m:sty m:val="p"/>
          </m:rPr>
          <m:t>±</m:t>
        </m:r>
        <m:r>
          <m:t>3.4</m:t>
        </m:r>
      </m:oMath>
      <w:r>
        <w:t xml:space="preserve"> pcm) and within</w:t>
      </w:r>
      <w:r>
        <w:t xml:space="preserve"> </w:t>
      </w:r>
      <m:oMath>
        <m:r>
          <m:rPr>
            <m:sty m:val="p"/>
          </m:rPr>
          <m:t>+</m:t>
        </m:r>
        <m:r>
          <m:t>14.7</m:t>
        </m:r>
      </m:oMath>
      <w:r>
        <w:t xml:space="preserve"> pcm of the</w:t>
      </w:r>
      <w:r>
        <w:t xml:space="preserve"> </w:t>
      </w:r>
      <w:r>
        <w:t xml:space="preserve">high-fidelity reference</w:t>
      </w:r>
      <w:r>
        <w:t xml:space="preserve"> </w:t>
      </w:r>
      <m:oMath>
        <m:r>
          <m:t>1.18646</m:t>
        </m:r>
      </m:oMath>
      <w:r>
        <w:t xml:space="preserve">. Against the OpenMC run on the identical</w:t>
      </w:r>
      <w:r>
        <w:t xml:space="preserve"> </w:t>
      </w:r>
      <w:r>
        <w:t xml:space="preserve">rectangular-rod geometry (Section </w:t>
      </w:r>
      <w:hyperlink w:anchor="sec:rectref">
        <w:r>
          <w:rPr>
            <w:rStyle w:val="Hyperlink"/>
          </w:rPr>
          <w:t xml:space="preserve">[sec:rectref]</w:t>
        </w:r>
      </w:hyperlink>
      <w:r>
        <w:t xml:space="preserve">,</w:t>
      </w:r>
      <w:r>
        <w:t xml:space="preserve"> </w:t>
      </w:r>
      <w:r>
        <w:t xml:space="preserve">Figure </w:t>
      </w:r>
      <w:hyperlink w:anchor="fig:rectflux">
        <w:r>
          <w:rPr>
            <w:rStyle w:val="Hyperlink"/>
          </w:rPr>
          <w:t xml:space="preserve">5</w:t>
        </w:r>
      </w:hyperlink>
      <w:r>
        <w:t xml:space="preserve">) the same sweep reads</w:t>
      </w:r>
      <w:r>
        <w:t xml:space="preserve"> </w:t>
      </w:r>
      <m:oMath>
        <m:r>
          <m:rPr>
            <m:sty m:val="p"/>
          </m:rPr>
          <m:t>−</m:t>
        </m:r>
        <m:r>
          <m:t>184.3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110.9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61.1</m:t>
        </m:r>
      </m:oMath>
      <w:r>
        <w:t xml:space="preserve"> pcm: still monotonically</w:t>
      </w:r>
      <w:r>
        <w:t xml:space="preserve"> </w:t>
      </w:r>
      <w:r>
        <w:t xml:space="preserve">decreasing, so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the angular-moment closure, not the square</w:t>
      </w:r>
      <w:r>
        <w:t xml:space="preserve"> </w:t>
      </w:r>
      <w:r>
        <w:t xml:space="preserve">tiling, is what sets the residual. (The assembly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dependence drifts the other way, upward with</w:t>
      </w:r>
      <w:r>
        <w:t xml:space="preserve"> </w:t>
      </w:r>
      <m:oMath>
        <m:r>
          <m:t>M</m:t>
        </m:r>
      </m:oMath>
      <w:r>
        <w:t xml:space="preserve">: the reflective</w:t>
      </w:r>
      <w:r>
        <w:t xml:space="preserve"> </w:t>
      </w:r>
      <w:r>
        <w:t xml:space="preserve">assembly has no leakage channel to absorb the angular cliff, so the</w:t>
      </w:r>
      <w:r>
        <w:t xml:space="preserve"> </w:t>
      </w:r>
      <w:r>
        <w:t xml:space="preserve">angular-moment closure over-corrects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grows; the core, with two</w:t>
      </w:r>
      <w:r>
        <w:t xml:space="preserve"> </w:t>
      </w:r>
      <w:r>
        <w:t xml:space="preserve">vacuum edges, converges toward the reference instead.)</w:t>
      </w:r>
    </w:p>
    <w:bookmarkEnd w:id="37"/>
    <w:bookmarkStart w:id="43" w:name="flux-comparison-explicit-geometry."/>
    <w:p>
      <w:pPr>
        <w:pStyle w:val="Heading4"/>
      </w:pPr>
      <w:r>
        <w:t xml:space="preserve">Flux comparison, explicit geometry.</w:t>
      </w:r>
    </w:p>
    <w:p>
      <w:pPr>
        <w:pStyle w:val="FirstParagraph"/>
      </w:pPr>
      <w:r>
        <w:t xml:space="preserve"> </w:t>
      </w:r>
      <w:r>
        <w:t xml:space="preserve">Figure </w:t>
      </w:r>
      <w:hyperlink w:anchor="fig:flux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compares the pin-averaged fission maps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f</m:t>
            </m:r>
          </m:sub>
        </m:sSub>
        <m:r>
          <m:t>ϕ</m:t>
        </m:r>
      </m:oMath>
      <w:r>
        <w:t xml:space="preserve"> </w:t>
      </w:r>
      <w:r>
        <w:t xml:space="preserve">of the rectangular-node OpenPSN (</w:t>
      </w:r>
      <m:oMath>
        <m:r>
          <m:t>M</m:t>
        </m:r>
        <m:r>
          <m:rPr>
            <m:sty m:val="p"/>
          </m:rPr>
          <m:t>=</m:t>
        </m:r>
        <m:r>
          <m:t>16</m:t>
        </m:r>
      </m:oMath>
      <w:r>
        <w:t xml:space="preserve">) against the</w:t>
      </w:r>
      <w:r>
        <w:t xml:space="preserve"> </w:t>
      </w:r>
      <w:r>
        <w:t xml:space="preserve">OpenMC explicit-geometry (fuel circle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water annulus) runs on the</w:t>
      </w:r>
      <w:r>
        <w:t xml:space="preserve"> </w:t>
      </w:r>
      <w:r>
        <w:t xml:space="preserve">same un-homogenised data, for the single UO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assembly (first row,</w:t>
      </w:r>
      <w:r>
        <w:t xml:space="preserve"> </w:t>
      </w:r>
      <w:r>
        <w:t xml:space="preserve">17</w:t>
      </w:r>
      <m:oMath>
        <m:r>
          <m:rPr>
            <m:sty m:val="p"/>
          </m:rPr>
          <m:t>×</m:t>
        </m:r>
      </m:oMath>
      <w:r>
        <w:t xml:space="preserve">17 pins) and the 1/4 core (second row, 34</w:t>
      </w:r>
      <m:oMath>
        <m:r>
          <m:rPr>
            <m:sty m:val="p"/>
          </m:rPr>
          <m:t>×</m:t>
        </m:r>
      </m:oMath>
      <w:r>
        <w:t xml:space="preserve">34 fuel</w:t>
      </w:r>
      <w:r>
        <w:t xml:space="preserve"> </w:t>
      </w:r>
      <w:r>
        <w:t xml:space="preserve">pins). The OpenPSN node field is the pin power</w:t>
      </w:r>
      <w:r>
        <w:t xml:space="preserve"> </w:t>
      </w:r>
      <m:oMath>
        <m:r>
          <m:t>ν</m:t>
        </m:r>
        <m:sSub>
          <m:e>
            <m:r>
              <m:rPr>
                <m:sty m:val="p"/>
              </m:rPr>
              <m:t>Σ</m:t>
            </m:r>
          </m:e>
          <m:sub>
            <m:r>
              <m:t>f</m:t>
            </m:r>
          </m:sub>
        </m:sSub>
        <m:r>
          <m:t>ϕ</m:t>
        </m:r>
      </m:oMath>
      <w:r>
        <w:t xml:space="preserve">; it is</w:t>
      </w:r>
      <w:r>
        <w:t xml:space="preserve"> </w:t>
      </w:r>
      <w:r>
        <w:t xml:space="preserve">converted into the fission quantity by dividing each pin by the</w:t>
      </w:r>
      <w:r>
        <w:t xml:space="preserve"> </w:t>
      </w:r>
      <w:r>
        <w:t xml:space="preserve">fission-weighted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its material (</w:t>
      </w:r>
      <m:oMath>
        <m:r>
          <m:t>2.441</m:t>
        </m:r>
      </m:oMath>
      <w:r>
        <w:t xml:space="preserve"> </w:t>
      </w:r>
      <w:r>
        <w:t xml:space="preserve">for UO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2.865</m:t>
        </m:r>
      </m:oMath>
      <w:r>
        <w:t xml:space="preserve">–</w:t>
      </w:r>
      <m:oMath>
        <m:r>
          <m:t>2.874</m:t>
        </m:r>
      </m:oMath>
      <w:r>
        <w:t xml:space="preserve"> </w:t>
      </w:r>
      <w:r>
        <w:t xml:space="preserve">for the three MOX enrichments, and</w:t>
      </w:r>
      <w:r>
        <w:t xml:space="preserve"> </w:t>
      </w:r>
      <m:oMath>
        <m:r>
          <m:t>2.434</m:t>
        </m:r>
      </m:oMath>
      <w:r>
        <w:t xml:space="preserve"> </w:t>
      </w:r>
      <w:r>
        <w:t xml:space="preserve">for the</w:t>
      </w:r>
      <w:r>
        <w:t xml:space="preserve"> </w:t>
      </w:r>
      <w:r>
        <w:t xml:space="preserve">fission-chamber inserts), so that both maps are the same physical</w:t>
      </w:r>
      <w:r>
        <w:t xml:space="preserve"> </w:t>
      </w:r>
      <w:r>
        <w:t xml:space="preserve">quantity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f</m:t>
            </m:r>
          </m:sub>
        </m:sSub>
        <m:r>
          <m:t>ϕ</m:t>
        </m:r>
      </m:oMath>
      <w:r>
        <w:t xml:space="preserve"> </w:t>
      </w:r>
      <w:r>
        <w:t xml:space="preserve">pin by pin. Both maps are then normalised to</w:t>
      </w:r>
      <w:r>
        <w:t xml:space="preserve"> </w:t>
      </w:r>
      <w:r>
        <w:t xml:space="preserve">unit sum, so the residual is purely in the shape.</w:t>
      </w:r>
      <w:r>
        <w:t xml:space="preserve"> </w:t>
      </w:r>
      <w:r>
        <w:t xml:space="preserve">On the assembly the pin-by-pin relative error has a mean of</w:t>
      </w:r>
      <w:r>
        <w:t xml:space="preserve"> </w:t>
      </w:r>
      <m:oMath>
        <m:r>
          <m:rPr>
            <m:sty m:val="p"/>
          </m:rPr>
          <m:t>−</m:t>
        </m:r>
        <m:r>
          <m:t>0.002</m:t>
        </m:r>
        <m:r>
          <m:rPr>
            <m:sty m:val="p"/>
          </m:rPr>
          <m:t>%</m:t>
        </m:r>
      </m:oMath>
      <w:r>
        <w:t xml:space="preserve"> </w:t>
      </w:r>
      <w:r>
        <w:t xml:space="preserve">and an RMS of</w:t>
      </w:r>
      <w:r>
        <w:t xml:space="preserve"> </w:t>
      </w:r>
      <m:oMath>
        <m:r>
          <m:t>0.070</m:t>
        </m:r>
        <m:r>
          <m:rPr>
            <m:sty m:val="p"/>
          </m:rPr>
          <m:t>%</m:t>
        </m:r>
      </m:oMath>
      <w:r>
        <w:t xml:space="preserve"> </w:t>
      </w:r>
      <w:r>
        <w:t xml:space="preserve">(max</w:t>
      </w:r>
      <w:r>
        <w:t xml:space="preserve"> </w:t>
      </w:r>
      <m:oMath>
        <m:r>
          <m:t>0.21</m:t>
        </m:r>
        <m:r>
          <m:rPr>
            <m:sty m:val="p"/>
          </m:rPr>
          <m:t>%</m:t>
        </m:r>
      </m:oMath>
      <w:r>
        <w:t xml:space="preserve">). On the 1/4 core,</w:t>
      </w:r>
      <w:r>
        <w:t xml:space="preserve"> </w:t>
      </w:r>
      <w:r>
        <w:t xml:space="preserve">over all</w:t>
      </w:r>
      <w:r>
        <w:t xml:space="preserve"> </w:t>
      </w:r>
      <m:oMath>
        <m:r>
          <m:t>1056</m:t>
        </m:r>
      </m:oMath>
      <w:r>
        <w:t xml:space="preserve"> </w:t>
      </w:r>
      <w:r>
        <w:t xml:space="preserve">fuel pins, the error is a mean of</w:t>
      </w:r>
      <w:r>
        <w:t xml:space="preserve"> </w:t>
      </w:r>
      <m:oMath>
        <m:r>
          <m:rPr>
            <m:sty m:val="p"/>
          </m:rPr>
          <m:t>−</m:t>
        </m:r>
        <m:r>
          <m:t>0.25</m:t>
        </m:r>
        <m:r>
          <m:rPr>
            <m:sty m:val="p"/>
          </m:rPr>
          <m:t>%</m:t>
        </m:r>
      </m:oMath>
      <w:r>
        <w:t xml:space="preserve"> </w:t>
      </w:r>
      <w:r>
        <w:t xml:space="preserve">and an RMS</w:t>
      </w:r>
      <w:r>
        <w:t xml:space="preserve"> </w:t>
      </w:r>
      <w:r>
        <w:t xml:space="preserve">of</w:t>
      </w:r>
      <w:r>
        <w:t xml:space="preserve"> </w:t>
      </w:r>
      <m:oMath>
        <m:r>
          <m:t>0.72</m:t>
        </m:r>
        <m:r>
          <m:rPr>
            <m:sty m:val="p"/>
          </m:rPr>
          <m:t>%</m:t>
        </m:r>
      </m:oMath>
      <w:r>
        <w:t xml:space="preserve"> </w:t>
      </w:r>
      <w:r>
        <w:t xml:space="preserve">(max</w:t>
      </w:r>
      <w:r>
        <w:t xml:space="preserve"> </w:t>
      </w:r>
      <m:oMath>
        <m:r>
          <m:t>1.52</m:t>
        </m:r>
        <m:r>
          <m:rPr>
            <m:sty m:val="p"/>
          </m:rPr>
          <m:t>%</m:t>
        </m:r>
      </m:oMath>
      <w:r>
        <w:t xml:space="preserve">): the four assemblies show a coherent pattern</w:t>
      </w:r>
      <w:r>
        <w:t xml:space="preserve"> </w:t>
      </w:r>
      <w:r>
        <w:t xml:space="preserve">at the</w:t>
      </w:r>
      <w:r>
        <w:t xml:space="preserve"> </w:t>
      </w:r>
      <m:oMath>
        <m:r>
          <m:rPr>
            <m:sty m:val="p"/>
          </m:rPr>
          <m:t>±</m:t>
        </m:r>
        <m:r>
          <m:t>0.8</m:t>
        </m:r>
        <m:r>
          <m:rPr>
            <m:sty m:val="p"/>
          </m:rPr>
          <m:t>%</m:t>
        </m:r>
      </m:oMath>
      <w:r>
        <w:t xml:space="preserve"> </w:t>
      </w:r>
      <w:r>
        <w:t xml:space="preserve">level (UO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assemblies</w:t>
      </w:r>
      <w:r>
        <w:t xml:space="preserve"> </w:t>
      </w:r>
      <m:oMath>
        <m:r>
          <m:rPr>
            <m:sty m:val="p"/>
          </m:rPr>
          <m:t>+</m:t>
        </m:r>
        <m:r>
          <m:t>0.04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0.63</m:t>
        </m:r>
        <m:r>
          <m:rPr>
            <m:sty m:val="p"/>
          </m:rPr>
          <m:t>%</m:t>
        </m:r>
      </m:oMath>
      <w:r>
        <w:t xml:space="preserve">, MOX</w:t>
      </w:r>
      <w:r>
        <w:t xml:space="preserve"> </w:t>
      </w:r>
      <w:r>
        <w:t xml:space="preserve">assemblies</w:t>
      </w:r>
      <w:r>
        <w:t xml:space="preserve"> </w:t>
      </w:r>
      <m:oMath>
        <m:r>
          <m:rPr>
            <m:sty m:val="p"/>
          </m:rPr>
          <m:t>−</m:t>
        </m:r>
        <m:r>
          <m:t>0.84</m:t>
        </m:r>
        <m:r>
          <m:rPr>
            <m:sty m:val="p"/>
          </m:rPr>
          <m:t>%</m:t>
        </m:r>
      </m:oMath>
      <w:r>
        <w:t xml:space="preserve"> </w:t>
      </w:r>
      <w:r>
        <w:t xml:space="preserve">in both) — the small between-assembly power</w:t>
      </w:r>
      <w:r>
        <w:t xml:space="preserve"> </w:t>
      </w:r>
      <w:r>
        <w:t xml:space="preserve">redistribution that comes with the rectangular tiling — while the</w:t>
      </w:r>
      <w:r>
        <w:t xml:space="preserve"> </w:t>
      </w:r>
      <w:r>
        <w:t xml:space="preserve">intra-assembly shape error stays below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in every assembly; the two</w:t>
      </w:r>
      <w:r>
        <w:t xml:space="preserve"> </w:t>
      </w:r>
      <w:r>
        <w:t xml:space="preserve">solvers agree within one percent on the pin-level fission distribution</w:t>
      </w:r>
      <w:r>
        <w:t xml:space="preserve"> </w:t>
      </w:r>
      <w:r>
        <w:t xml:space="preserve">for the whole core.</w:t>
      </w:r>
    </w:p>
    <w:bookmarkStart w:id="41" w:name="fig:flux"/>
    <w:p>
      <w:pPr>
        <w:pStyle w:val="CaptionedFigure"/>
      </w:pPr>
      <w:r>
        <w:drawing>
          <wp:inline>
            <wp:extent cx="5227320" cy="3211258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5g7_rect_flux_compare_nu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211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Pin-averaged fission maps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f</m:t>
            </m:r>
          </m:sub>
        </m:sSub>
        <m:r>
          <m:t>ϕ</m:t>
        </m:r>
      </m:oMath>
      <w:r>
        <w:t xml:space="preserve">, rectangular-node</w:t>
      </w:r>
      <w:r>
        <w:t xml:space="preserve"> </w:t>
      </w:r>
      <w:r>
        <w:t xml:space="preserve">OpenPSN (</w:t>
      </w:r>
      <m:oMath>
        <m:r>
          <m:t>M</m:t>
        </m:r>
        <m:r>
          <m:rPr>
            <m:sty m:val="p"/>
          </m:rPr>
          <m:t>=</m:t>
        </m:r>
        <m:r>
          <m:t>16</m:t>
        </m:r>
      </m:oMath>
      <w:r>
        <w:t xml:space="preserve">, un-homogenised material XS) vs. OpenMC (explicit geometry, 7-group collision estimator). One row per</w:t>
      </w:r>
      <w:r>
        <w:t xml:space="preserve"> </w:t>
      </w:r>
      <w:r>
        <w:t xml:space="preserve">problem — single UO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assembly (17</w:t>
      </w:r>
      <m:oMath>
        <m:r>
          <m:rPr>
            <m:sty m:val="p"/>
          </m:rPr>
          <m:t>×</m:t>
        </m:r>
      </m:oMath>
      <w:r>
        <w:t xml:space="preserve">17 pins), then C5G7-2D</w:t>
      </w:r>
      <w:r>
        <w:t xml:space="preserve"> </w:t>
      </w:r>
      <w:r>
        <w:t xml:space="preserve">1/4 core, fuel region only (34</w:t>
      </w:r>
      <m:oMath>
        <m:r>
          <m:rPr>
            <m:sty m:val="p"/>
          </m:rPr>
          <m:t>×</m:t>
        </m:r>
      </m:oMath>
      <w:r>
        <w:t xml:space="preserve">34 pins); columns are OpenPSN,</w:t>
      </w:r>
      <w:r>
        <w:t xml:space="preserve"> </w:t>
      </w:r>
      <w:r>
        <w:t xml:space="preserve">OpenMC, and the pin-by-pin relative error (fuel pins only), both maps</w:t>
      </w:r>
      <w:r>
        <w:t xml:space="preserve"> </w:t>
      </w:r>
      <w:r>
        <w:t xml:space="preserve">normalised to unit sum.</w:t>
      </w:r>
    </w:p>
    <w:bookmarkEnd w:id="41"/>
    <w:p>
      <w:pPr>
        <w:pStyle w:val="BodyText"/>
      </w:pPr>
      <w:bookmarkStart w:id="42" w:name="sec:rectref"/>
      <w:bookmarkEnd w:id="42"/>
    </w:p>
    <w:bookmarkEnd w:id="43"/>
    <w:bookmarkStart w:id="48" w:name="rectangular-rod-reference."/>
    <w:p>
      <w:pPr>
        <w:pStyle w:val="Heading4"/>
      </w:pPr>
      <w:r>
        <w:t xml:space="preserve">Rectangular-rod reference.</w:t>
      </w:r>
    </w:p>
    <w:p>
      <w:pPr>
        <w:pStyle w:val="FirstParagraph"/>
      </w:pPr>
      <w:r>
        <w:t xml:space="preserve"> </w:t>
      </w:r>
      <w:r>
        <w:t xml:space="preserve">The circular pin cell is the benchmark’s reference geometry, while the PSN</w:t>
      </w:r>
      <w:r>
        <w:t xml:space="preserve"> </w:t>
      </w:r>
      <w:r>
        <w:t xml:space="preserve">nodes tile the same cell with an equal-area square fuel block (side</w:t>
      </w:r>
      <w:r>
        <w:t xml:space="preserve"> </w:t>
      </w:r>
      <m:oMath>
        <m:r>
          <m:t>0.9571</m:t>
        </m:r>
      </m:oMath>
      <w:r>
        <w:t xml:space="preserve"> cm, water gap</w:t>
      </w:r>
      <w:r>
        <w:t xml:space="preserve"> </w:t>
      </w:r>
      <m:oMath>
        <m:r>
          <m:t>0.1514</m:t>
        </m:r>
      </m:oMath>
      <w:r>
        <w:t xml:space="preserve"> cm). To separate the geometric effect from</w:t>
      </w:r>
      <w:r>
        <w:t xml:space="preserve"> </w:t>
      </w:r>
      <w:r>
        <w:t xml:space="preserve">the method difference we run OpenMC on exactly that rectangular-rod geometry</w:t>
      </w:r>
      <w:r>
        <w:t xml:space="preserve"> </w:t>
      </w:r>
      <w:r>
        <w:t xml:space="preserve">(same un-homogenised data, same collision-estimator pin tallies,</w:t>
      </w:r>
      <w:r>
        <w:t xml:space="preserve"> </w:t>
      </w:r>
      <m:oMath>
        <m:r>
          <m:t>20200</m:t>
        </m:r>
      </m:oMath>
      <w:r>
        <w:t xml:space="preserve"> </w:t>
      </w:r>
      <w:r>
        <w:t xml:space="preserve">batches</w:t>
      </w:r>
      <w:r>
        <w:t xml:space="preserve"> 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particles, fixed seed). The square-rod assembly</w:t>
      </w:r>
      <w:r>
        <w:t xml:space="preserve"> </w:t>
      </w:r>
      <w:r>
        <w:t xml:space="preserve">returns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1.3347260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±</m:t>
        </m:r>
        <m:r>
          <m:t>3.6</m:t>
        </m:r>
      </m:oMath>
      <w:r>
        <w:t xml:space="preserve"> pcm) and the 1/4 core</w:t>
      </w:r>
      <w:r>
        <w:t xml:space="preserve"> </w:t>
      </w:r>
      <m:oMath>
        <m:r>
          <m:t>1.1872176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±</m:t>
        </m:r>
        <m:r>
          <m:t>3.4</m:t>
        </m:r>
      </m:oMath>
      <w:r>
        <w:t xml:space="preserve"> pcm):</w:t>
      </w:r>
      <w:r>
        <w:t xml:space="preserve"> </w:t>
      </w:r>
      <m:oMath>
        <m:r>
          <m:rPr>
            <m:sty m:val="p"/>
          </m:rPr>
          <m:t>+</m:t>
        </m:r>
        <m:r>
          <m:t>123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72</m:t>
        </m:r>
      </m:oMath>
      <w:r>
        <w:t xml:space="preserve"> pcm above the cylindrical</w:t>
      </w:r>
      <w:r>
        <w:t xml:space="preserve"> </w:t>
      </w:r>
      <w:r>
        <w:t xml:space="preserve">reference of Table </w:t>
      </w:r>
      <w:hyperlink w:anchor="tab:rec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— the pure geometry effect of the</w:t>
      </w:r>
      <w:r>
        <w:t xml:space="preserve"> </w:t>
      </w:r>
      <w:r>
        <w:t xml:space="preserve">square tiling on the same data. Against the rectangular-rod reference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sweep is</w:t>
      </w:r>
      <w:r>
        <w:t xml:space="preserve"> </w:t>
      </w:r>
      <m:oMath>
        <m:r>
          <m:rPr>
            <m:sty m:val="p"/>
          </m:rPr>
          <m:t>−</m:t>
        </m:r>
        <m:r>
          <m:t>101.0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69.3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37.2</m:t>
        </m:r>
      </m:oMath>
      <w:r>
        <w:t xml:space="preserve"> pcm on the</w:t>
      </w:r>
      <w:r>
        <w:t xml:space="preserve"> </w:t>
      </w:r>
      <w:r>
        <w:t xml:space="preserve">assembly and</w:t>
      </w:r>
      <w:r>
        <w:t xml:space="preserve"> </w:t>
      </w:r>
      <m:oMath>
        <m:r>
          <m:rPr>
            <m:sty m:val="p"/>
          </m:rPr>
          <m:t>−</m:t>
        </m:r>
        <m:r>
          <m:t>184.3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110.9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61.1</m:t>
        </m:r>
      </m:oMath>
      <w:r>
        <w:t xml:space="preserve"> pcm on the</w:t>
      </w:r>
      <w:r>
        <w:t xml:space="preserve"> </w:t>
      </w:r>
      <w:r>
        <w:t xml:space="preserve">1/4 core: monotonically decreasing with</w:t>
      </w:r>
      <w:r>
        <w:t xml:space="preserve"> </w:t>
      </w:r>
      <m:oMath>
        <m:r>
          <m:t>M</m:t>
        </m:r>
      </m:oMath>
      <w:r>
        <w:t xml:space="preserve">, i.e. the angular-moment</w:t>
      </w:r>
      <w:r>
        <w:t xml:space="preserve"> </w:t>
      </w:r>
      <w:r>
        <w:t xml:space="preserve">closure is still the dominant residual, and the square tiling does not</w:t>
      </w:r>
      <w:r>
        <w:t xml:space="preserve"> </w:t>
      </w:r>
      <w:r>
        <w:t xml:space="preserve">remove the systematic low bias. Figure </w:t>
      </w:r>
      <w:hyperlink w:anchor="fig:rectflux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compares the two</w:t>
      </w:r>
      <w:r>
        <w:t xml:space="preserve"> </w:t>
      </w:r>
      <w:r>
        <w:t xml:space="preserve">solvers on this identical geometry. The pin-by-pin fission maps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f</m:t>
            </m:r>
          </m:sub>
        </m:sSub>
        <m:r>
          <m:t>ϕ</m:t>
        </m:r>
      </m:oMath>
      <w:r>
        <w:t xml:space="preserve"> </w:t>
      </w:r>
      <w:r>
        <w:t xml:space="preserve">agree with a mean of</w:t>
      </w:r>
      <w:r>
        <w:t xml:space="preserve"> </w:t>
      </w:r>
      <m:oMath>
        <m:r>
          <m:rPr>
            <m:sty m:val="p"/>
          </m:rPr>
          <m:t>−</m:t>
        </m:r>
        <m:r>
          <m:t>0.00</m:t>
        </m:r>
        <m:r>
          <m:rPr>
            <m:sty m:val="p"/>
          </m:rPr>
          <m:t>%</m:t>
        </m:r>
      </m:oMath>
      <w:r>
        <w:t xml:space="preserve"> </w:t>
      </w:r>
      <w:r>
        <w:t xml:space="preserve">and an RMS of</w:t>
      </w:r>
      <w:r>
        <w:t xml:space="preserve"> </w:t>
      </w:r>
      <m:oMath>
        <m:r>
          <m:t>0.16</m:t>
        </m:r>
        <m:r>
          <m:rPr>
            <m:sty m:val="p"/>
          </m:rPr>
          <m:t>%</m:t>
        </m:r>
      </m:oMath>
      <w:r>
        <w:t xml:space="preserve"> </w:t>
      </w:r>
      <w:r>
        <w:t xml:space="preserve">(max</w:t>
      </w:r>
      <w:r>
        <w:t xml:space="preserve"> </w:t>
      </w:r>
      <m:oMath>
        <m:r>
          <m:t>0.38</m:t>
        </m:r>
        <m:r>
          <m:rPr>
            <m:sty m:val="p"/>
          </m:rPr>
          <m:t>%</m:t>
        </m:r>
      </m:oMath>
      <w:r>
        <w:t xml:space="preserve">) on the assembly, and a mean of</w:t>
      </w:r>
      <w:r>
        <w:t xml:space="preserve"> </w:t>
      </w:r>
      <m:oMath>
        <m:r>
          <m:rPr>
            <m:sty m:val="p"/>
          </m:rPr>
          <m:t>−</m:t>
        </m:r>
        <m:r>
          <m:t>0.18</m:t>
        </m:r>
        <m:r>
          <m:rPr>
            <m:sty m:val="p"/>
          </m:rPr>
          <m:t>%</m:t>
        </m:r>
      </m:oMath>
      <w:r>
        <w:t xml:space="preserve"> </w:t>
      </w:r>
      <w:r>
        <w:t xml:space="preserve">and an RMS of</w:t>
      </w:r>
      <w:r>
        <w:t xml:space="preserve"> </w:t>
      </w:r>
      <m:oMath>
        <m:r>
          <m:t>0.59</m:t>
        </m:r>
        <m:r>
          <m:rPr>
            <m:sty m:val="p"/>
          </m:rPr>
          <m:t>%</m:t>
        </m:r>
      </m:oMath>
      <w:r>
        <w:t xml:space="preserve"> </w:t>
      </w:r>
      <w:r>
        <w:t xml:space="preserve">(max</w:t>
      </w:r>
      <w:r>
        <w:t xml:space="preserve"> </w:t>
      </w:r>
      <m:oMath>
        <m:r>
          <m:t>1.61</m:t>
        </m:r>
        <m:r>
          <m:rPr>
            <m:sty m:val="p"/>
          </m:rPr>
          <m:t>%</m:t>
        </m:r>
      </m:oMath>
      <w:r>
        <w:t xml:space="preserve">) over all</w:t>
      </w:r>
      <w:r>
        <w:t xml:space="preserve"> </w:t>
      </w:r>
      <m:oMath>
        <m:r>
          <m:t>1056</m:t>
        </m:r>
      </m:oMath>
      <w:r>
        <w:t xml:space="preserve"> </w:t>
      </w:r>
      <w:r>
        <w:t xml:space="preserve">fuel pins of the 1/4 core</w:t>
      </w:r>
      <w:r>
        <w:t xml:space="preserve"> </w:t>
      </w:r>
      <w:r>
        <w:t xml:space="preserve">(assembly means</w:t>
      </w:r>
      <w:r>
        <w:t xml:space="preserve"> </w:t>
      </w:r>
      <m:oMath>
        <m:r>
          <m:rPr>
            <m:sty m:val="p"/>
          </m:rPr>
          <m:t>+</m:t>
        </m:r>
        <m:r>
          <m:t>0.46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0.64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0.60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0.05</m:t>
        </m:r>
        <m:r>
          <m:rPr>
            <m:sty m:val="p"/>
          </m:rPr>
          <m:t>%</m:t>
        </m:r>
      </m:oMath>
      <w:r>
        <w:t xml:space="preserve">): the same</w:t>
      </w:r>
      <w:r>
        <w:t xml:space="preserve"> </w:t>
      </w:r>
      <w:r>
        <w:t xml:space="preserve">level as against the explicit cylindrical geometry (RMS</w:t>
      </w:r>
      <w:r>
        <w:t xml:space="preserve"> </w:t>
      </w:r>
      <m:oMath>
        <m:r>
          <m:t>0.72</m:t>
        </m:r>
        <m:r>
          <m:rPr>
            <m:sty m:val="p"/>
          </m:rPr>
          <m:t>%</m:t>
        </m:r>
      </m:oMath>
      <w:r>
        <w:t xml:space="preserve">), so the</w:t>
      </w:r>
      <w:r>
        <w:t xml:space="preserve"> </w:t>
      </w:r>
      <w:r>
        <w:t xml:space="preserve">pin-level shape difference is set by the method, not by the square tiling.</w:t>
      </w:r>
    </w:p>
    <w:bookmarkStart w:id="47" w:name="fig:rectflux"/>
    <w:p>
      <w:pPr>
        <w:pStyle w:val="CaptionedFigure"/>
      </w:pPr>
      <w:r>
        <w:drawing>
          <wp:inline>
            <wp:extent cx="5227320" cy="321784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5g7_rect_vs_rect_flux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217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Pin-averaged fission maps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f</m:t>
            </m:r>
          </m:sub>
        </m:sSub>
        <m:r>
          <m:t>ϕ</m:t>
        </m:r>
      </m:oMath>
      <w:r>
        <w:t xml:space="preserve">, rectangular-node</w:t>
      </w:r>
      <w:r>
        <w:t xml:space="preserve"> </w:t>
      </w:r>
      <w:r>
        <w:t xml:space="preserve">OpenPSN (</w:t>
      </w:r>
      <m:oMath>
        <m:r>
          <m:t>M</m:t>
        </m:r>
        <m:r>
          <m:rPr>
            <m:sty m:val="p"/>
          </m:rPr>
          <m:t>=</m:t>
        </m:r>
        <m:r>
          <m:t>16</m:t>
        </m:r>
      </m:oMath>
      <w:r>
        <w:t xml:space="preserve">) vs. OpenMC on the identical rectangular-rod geometry</w:t>
      </w:r>
      <w:r>
        <w:t xml:space="preserve"> </w:t>
      </w:r>
      <w:r>
        <w:t xml:space="preserve">(equal-area square fuel block per pin cell, 7-group collision estimator).</w:t>
      </w:r>
      <w:r>
        <w:t xml:space="preserve"> </w:t>
      </w:r>
      <w:r>
        <w:t xml:space="preserve">One row per problem — single UO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assembly (17</w:t>
      </w:r>
      <m:oMath>
        <m:r>
          <m:rPr>
            <m:sty m:val="p"/>
          </m:rPr>
          <m:t>×</m:t>
        </m:r>
      </m:oMath>
      <w:r>
        <w:t xml:space="preserve">17 pins), then</w:t>
      </w:r>
      <w:r>
        <w:t xml:space="preserve"> </w:t>
      </w:r>
      <w:r>
        <w:t xml:space="preserve">C5G7-2D 1/4 core, fuel region only (34</w:t>
      </w:r>
      <m:oMath>
        <m:r>
          <m:rPr>
            <m:sty m:val="p"/>
          </m:rPr>
          <m:t>×</m:t>
        </m:r>
      </m:oMath>
      <w:r>
        <w:t xml:space="preserve">34 pins); columns are</w:t>
      </w:r>
      <w:r>
        <w:t xml:space="preserve"> </w:t>
      </w:r>
      <w:r>
        <w:t xml:space="preserve">OpenPSN, OpenMC, and the pin-by-pin relative error (fuel pins only), both</w:t>
      </w:r>
      <w:r>
        <w:t xml:space="preserve"> </w:t>
      </w:r>
      <w:r>
        <w:t xml:space="preserve">maps normalised to unit sum.</w:t>
      </w:r>
    </w:p>
    <w:bookmarkEnd w:id="47"/>
    <w:bookmarkEnd w:id="48"/>
    <w:bookmarkEnd w:id="49"/>
    <w:bookmarkStart w:id="51" w:name="X5dff4020ce9d23d2cf92dde8b6a9f5e78dfe609"/>
    <w:p>
      <w:pPr>
        <w:pStyle w:val="Heading2"/>
      </w:pPr>
      <w:r>
        <w:t xml:space="preserve">Comparison with the published diffusion / SN / nodal landscape</w:t>
      </w:r>
    </w:p>
    <w:p>
      <w:pPr>
        <w:pStyle w:val="FirstParagraph"/>
      </w:pPr>
      <w:r>
        <w:t xml:space="preserve">The original NEA report </w:t>
      </w:r>
      <w:r>
        <w:t xml:space="preserve"> </w:t>
      </w:r>
      <w:r>
        <w:t xml:space="preserve">tabulates 20 deterministic codes on</w:t>
      </w:r>
      <w:r>
        <w:t xml:space="preserve"> </w:t>
      </w:r>
      <w:r>
        <w:t xml:space="preserve">C5G7-2D. Table </w:t>
      </w:r>
      <w:hyperlink w:anchor="tab:lit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reproduces the diffusion- and nodal-family</w:t>
      </w:r>
      <w:r>
        <w:t xml:space="preserve"> </w:t>
      </w:r>
      <w:r>
        <w:t xml:space="preserve">values we could extract from it, together with recent P1/SP3/SN/nodal</w:t>
      </w:r>
      <w:r>
        <w:t xml:space="preserve"> </w:t>
      </w:r>
      <w:r>
        <w:t xml:space="preserve">literature results and our own OpenPSN result.</w:t>
      </w:r>
    </w:p>
    <w:bookmarkStart w:id="50" w:name="tab:lit"/>
    <w:p>
      <w:pPr>
        <w:pStyle w:val="TableCaption"/>
      </w:pPr>
      <w:r>
        <w:t xml:space="preserve">C5G7-2D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by method class (2-D multi-group, homogenised pin</w:t>
      </w:r>
      <w:r>
        <w:t xml:space="preserve"> </w:t>
      </w:r>
      <w:r>
        <w:t xml:space="preserve">model unless noted). NEA-2003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values (its Table 17) plus recent P1/SP3</w:t>
      </w:r>
      <w:r>
        <w:t xml:space="preserve"> </w:t>
      </w:r>
      <w:r>
        <w:t xml:space="preserve">literature.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1.18646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in pcm, except where stated</w:t>
      </w:r>
      <w:r>
        <w:t xml:space="preserve"> </w:t>
      </w:r>
      <w:r>
        <w:t xml:space="preserve">(STELLA vs its PEACH reference 1.18716). The original NEA table prints the</w:t>
      </w:r>
      <w:r>
        <w:t xml:space="preserve"> </w:t>
      </w:r>
      <w:r>
        <w:t xml:space="preserve">relative per-cent error against its MCNP reference 1.18655; the pcm values</w:t>
      </w:r>
      <w:r>
        <w:t xml:space="preserve"> </w:t>
      </w:r>
      <w:r>
        <w:t xml:space="preserve">here are recomputed from the printed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against 1.18646.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5G7-2D \kappa_{\mathrm{eff}} by method class (2-D multi-group, homogenised pin model unless noted). NEA-2003 k values (its Table 17) plus recent P1/SP3 literature. \Delta = (k-1.18646)\times10^{5} in pcm, except where stated (STELLA vs its PEACH reference 1.18716). The original NEA table prints the relative per-cent error against its MCNP reference 1.18655; the pcm values here are recomputed from the printed k against 1.18646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(pcm)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Pure P1 diffusion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diffusion (FEM)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1.18323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323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(pin-hom)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STELLA-P1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1.18426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290</m:t>
              </m:r>
            </m:oMath>
            <w:r>
              <w:t xml:space="preserve"> </w:t>
            </w:r>
            <w:r>
              <w:t xml:space="preserve">(vs PEACH)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SN-FEM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CRONOS2-SN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1.18338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308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SN-FDM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DORT-GRS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1.18482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164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SN-FDM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DORT-ORNL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1.18496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150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SN-FDM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TWODANT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1.18668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 (diamond diff.)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PARTISN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1.18637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 (unstructured)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PERICLES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1.18658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12</m:t>
              </m:r>
            </m:oMath>
            <w:r>
              <w:t xml:space="preserve">​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High-order nodal</w:t>
            </w:r>
            <w:r>
              <w:rPr>
                <w:i/>
                <w:iCs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/ surf. harmonics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-nodal (FEM)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VARIANT-SE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1.18495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151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-nodal + int. transp.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VARIANT-ISE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1.18745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99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harm. (G3/P2)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SUHAM-2D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1.18628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18</m:t>
              </m:r>
            </m:oMath>
            <w:r>
              <w:t xml:space="preserve">​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CHAPLET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1.18656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MCCG3D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1.18657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1.18660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APOLLO2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1.18618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1.18813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167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 (stoch. rays)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UNKGRO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1.18523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123</m:t>
              </m:r>
            </m:oMath>
            <w:r>
              <w:t xml:space="preserve">​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This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PSN nodal (rect. node,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OpenPSN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1.1866067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14.7</m:t>
              </m:r>
            </m:oMath>
            <w:r>
              <w:t xml:space="preserve">​</w:t>
            </w:r>
          </w:p>
        </w:tc>
      </w:tr>
    </w:tbl>
    <w:bookmarkEnd w:id="50"/>
    <w:p>
      <w:pPr>
        <w:pStyle w:val="BodyText"/>
      </w:pPr>
      <w:r>
        <w:rPr>
          <w:i/>
          <w:iCs/>
        </w:rPr>
        <w:t xml:space="preserve">Readings.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Pure P1 diffusion is systematically low</w:t>
      </w:r>
      <w:r>
        <w:t xml:space="preserve"> </w:t>
      </w:r>
      <w:r>
        <w:t xml:space="preserve">— CRONOS2</w:t>
      </w:r>
      <w:r>
        <w:t xml:space="preserve"> </w:t>
      </w:r>
      <m:oMath>
        <m:r>
          <m:rPr>
            <m:sty m:val="p"/>
          </m:rPr>
          <m:t>−</m:t>
        </m:r>
        <m:r>
          <m:t>323</m:t>
        </m:r>
      </m:oMath>
      <w:r>
        <w:t xml:space="preserve"> pcm (</w:t>
      </w:r>
      <m:oMath>
        <m:r>
          <m:rPr>
            <m:sty m:val="p"/>
          </m:rPr>
          <m:t>−</m:t>
        </m:r>
        <m:r>
          <m:t>0.27</m:t>
        </m:r>
        <m:r>
          <m:rPr>
            <m:sty m:val="p"/>
          </m:rPr>
          <m:t>%</m:t>
        </m:r>
      </m:oMath>
      <w:r>
        <w:t xml:space="preserve">), STELLA-P1</w:t>
      </w:r>
      <w:r>
        <w:t xml:space="preserve"> </w:t>
      </w:r>
      <m:oMath>
        <m:r>
          <m:rPr>
            <m:sty m:val="p"/>
          </m:rPr>
          <m:t>−</m:t>
        </m:r>
        <m:r>
          <m:t>290</m:t>
        </m:r>
      </m:oMath>
      <w:r>
        <w:t xml:space="preserve"> pcm vs its PEACH MOC reference 1.18716: no transport correction and</w:t>
      </w:r>
      <w:r>
        <w:t xml:space="preserve"> </w:t>
      </w:r>
      <w:r>
        <w:t xml:space="preserve">no self shielding.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SN spans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308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(CRONOS2-SN) to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r>
          <m:t>22</m:t>
        </m:r>
      </m:oMath>
      <w:r>
        <w:rPr>
          <w:b/>
          <w:bCs/>
        </w:rPr>
        <w:t xml:space="preserve"> pcm (TWODANT);</w:t>
      </w:r>
      <w:r>
        <w:rPr>
          <w:b/>
          <w:bCs/>
        </w:rPr>
        <w:t xml:space="preserve"> </w:t>
      </w:r>
      <w:r>
        <w:rPr>
          <w:b/>
          <w:bCs/>
        </w:rPr>
        <w:t xml:space="preserve">DORT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164</m:t>
        </m:r>
      </m:oMath>
      <w:r>
        <w:rPr>
          <w:b/>
          <w:bCs/>
        </w:rPr>
        <w:t xml:space="preserve">/</w:t>
      </w:r>
      <m:oMath>
        <m:r>
          <m:rPr>
            <m:sty m:val="p"/>
          </m:rPr>
          <m:t>−</m:t>
        </m:r>
        <m:r>
          <m:t>150</m:t>
        </m:r>
      </m:oMath>
      <w:r>
        <w:rPr>
          <w:b/>
          <w:bCs/>
        </w:rPr>
        <w:t xml:space="preserve">; the better-differenced / unstructured variants</w:t>
      </w:r>
      <w:r>
        <w:rPr>
          <w:b/>
          <w:bCs/>
        </w:rPr>
        <w:t xml:space="preserve"> </w:t>
      </w:r>
      <w:r>
        <w:rPr>
          <w:b/>
          <w:bCs/>
        </w:rPr>
        <w:t xml:space="preserve">PARTISN (</w:t>
      </w:r>
      <m:oMath>
        <m:r>
          <m:rPr>
            <m:sty m:val="p"/>
          </m:rPr>
          <m:t>−</m:t>
        </m:r>
        <m:r>
          <m:t>9</m:t>
        </m:r>
      </m:oMath>
      <w:r>
        <w:rPr>
          <w:b/>
          <w:bCs/>
        </w:rPr>
        <w:t xml:space="preserve">) and PERICLES (</w:t>
      </w:r>
      <m:oMath>
        <m:r>
          <m:rPr>
            <m:sty m:val="p"/>
          </m:rPr>
          <m:t>+</m:t>
        </m:r>
        <m:r>
          <m:t>12</m:t>
        </m:r>
      </m:oMath>
      <w:r>
        <w:rPr>
          <w:b/>
          <w:bCs/>
        </w:rPr>
        <w:t xml:space="preserve">) within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  <m:r>
          <m:t>0.01</m:t>
        </m:r>
        <m:r>
          <m:rPr>
            <m:sty m:val="p"/>
          </m:rPr>
          <m:t>%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High-order nodal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surface harmonics</w:t>
      </w:r>
      <w:r>
        <w:t xml:space="preserve"> </w:t>
      </w:r>
      <w:r>
        <w:t xml:space="preserve">spans</w:t>
      </w:r>
      <w:r>
        <w:t xml:space="preserve"> </w:t>
      </w:r>
      <m:oMath>
        <m:r>
          <m:rPr>
            <m:sty m:val="p"/>
          </m:rPr>
          <m:t>−</m:t>
        </m:r>
        <m:r>
          <m:t>151</m:t>
        </m:r>
      </m:oMath>
      <w:r>
        <w:t xml:space="preserve"> </w:t>
      </w:r>
      <w:r>
        <w:t xml:space="preserve">(VARIANT-SE) to</w:t>
      </w:r>
      <w:r>
        <w:t xml:space="preserve"> </w:t>
      </w:r>
      <m:oMath>
        <m:r>
          <m:rPr>
            <m:sty m:val="p"/>
          </m:rPr>
          <m:t>+</m:t>
        </m:r>
        <m:r>
          <m:t>99</m:t>
        </m:r>
      </m:oMath>
      <w:r>
        <w:t xml:space="preserve"> pcm (VARIANT-ISE); SUHAM-2D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</m:oMath>
      <w:r>
        <w:t xml:space="preserve">; VARIANT-ISE</w:t>
      </w:r>
      <w:r>
        <w:t xml:space="preserve"> </w:t>
      </w:r>
      <w:r>
        <w:t xml:space="preserve">also has the best pin power in the original table (MRE 0.11%).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MOC (explicit pin geometry) clusters within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  <m:r>
          <m:t>28</m:t>
        </m:r>
      </m:oMath>
      <w:r>
        <w:rPr>
          <w:b/>
          <w:bCs/>
        </w:rPr>
        <w:t xml:space="preserve"> pcm</w:t>
      </w:r>
      <w:r>
        <w:t xml:space="preserve"> </w:t>
      </w:r>
      <w:r>
        <w:t xml:space="preserve">(CHAPLET</w:t>
      </w:r>
      <w:r>
        <w:t xml:space="preserve"> </w:t>
      </w:r>
      <m:oMath>
        <m:r>
          <m:rPr>
            <m:sty m:val="p"/>
          </m:rPr>
          <m:t>+</m:t>
        </m:r>
        <m:r>
          <m:t>10</m:t>
        </m:r>
      </m:oMath>
      <w:r>
        <w:t xml:space="preserve">, MCCG3D</w:t>
      </w:r>
      <w:r>
        <w:t xml:space="preserve"> </w:t>
      </w:r>
      <m:oMath>
        <m:r>
          <m:rPr>
            <m:sty m:val="p"/>
          </m:rPr>
          <m:t>+</m:t>
        </m:r>
        <m:r>
          <m:t>11</m:t>
        </m:r>
      </m:oMath>
      <w:r>
        <w:t xml:space="preserve">, DeCART</w:t>
      </w:r>
      <w:r>
        <w:t xml:space="preserve"> </w:t>
      </w:r>
      <m:oMath>
        <m:r>
          <m:rPr>
            <m:sty m:val="p"/>
          </m:rPr>
          <m:t>+</m:t>
        </m:r>
        <m:r>
          <m:t>14</m:t>
        </m:r>
      </m:oMath>
      <w:r>
        <w:t xml:space="preserve">, APOLLO2</w:t>
      </w:r>
      <w:r>
        <w:t xml:space="preserve"> </w:t>
      </w:r>
      <m:oMath>
        <m:r>
          <m:rPr>
            <m:sty m:val="p"/>
          </m:rPr>
          <m:t>−</m:t>
        </m:r>
        <m:r>
          <m:t>28</m:t>
        </m:r>
      </m:oMath>
      <w:r>
        <w:t xml:space="preserve">), with two</w:t>
      </w:r>
      <w:r>
        <w:t xml:space="preserve"> </w:t>
      </w:r>
      <w:r>
        <w:t xml:space="preserve">outliers (CRX</w:t>
      </w:r>
      <w:r>
        <w:t xml:space="preserve"> </w:t>
      </w:r>
      <m:oMath>
        <m:r>
          <m:rPr>
            <m:sty m:val="p"/>
          </m:rPr>
          <m:t>+</m:t>
        </m:r>
        <m:r>
          <m:t>167</m:t>
        </m:r>
      </m:oMath>
      <w:r>
        <w:t xml:space="preserve">, UNKGRO</w:t>
      </w:r>
      <w:r>
        <w:t xml:space="preserve"> </w:t>
      </w:r>
      <m:oMath>
        <m:r>
          <m:rPr>
            <m:sty m:val="p"/>
          </m:rPr>
          <m:t>−</m:t>
        </m:r>
        <m:r>
          <m:t>123</m:t>
        </m:r>
      </m:oMath>
      <w:r>
        <w:t xml:space="preserve">); TWODANT is SN-FDM (</w:t>
      </w:r>
      <m:oMath>
        <m:r>
          <m:rPr>
            <m:sty m:val="p"/>
          </m:rPr>
          <m:t>+</m:t>
        </m:r>
        <m:r>
          <m:t>22</m:t>
        </m:r>
      </m:oMath>
      <w:r>
        <w:t xml:space="preserve">); the</w:t>
      </w:r>
      <w:r>
        <w:t xml:space="preserve"> </w:t>
      </w:r>
      <w:r>
        <w:t xml:space="preserve">high-fidelity Rattlesnake converged limit is</w:t>
      </w:r>
      <w:r>
        <w:t xml:space="preserve"> </w:t>
      </w:r>
      <m:oMath>
        <m:r>
          <m:t>1.186446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1 pcm from the 1.186456 reference).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OpenPSN in this work.</w:t>
      </w:r>
      <w:r>
        <w:t xml:space="preserve"> </w:t>
      </w:r>
      <w:r>
        <w:t xml:space="preserve">The two C5G7 studies of</w:t>
      </w:r>
      <w:r>
        <w:t xml:space="preserve"> </w:t>
      </w:r>
      <w:r>
        <w:t xml:space="preserve">Sections 4.3–4.4 bound the answer from both sides. With the</w:t>
      </w:r>
      <w:r>
        <w:t xml:space="preserve"> </w:t>
      </w:r>
      <w:r>
        <w:t xml:space="preserve">self-shielding-aware BWW pinwise homogenisation, the best point of the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sweep (</w:t>
      </w:r>
      <m:oMath>
        <m:r>
          <m:t>M</m:t>
        </m:r>
        <m:r>
          <m:t>16</m:t>
        </m:r>
        <m:r>
          <m:rPr>
            <m:sty m:val="p"/>
          </m:rPr>
          <m:t>_</m:t>
        </m:r>
        <m:r>
          <m:t>S</m:t>
        </m:r>
        <m:r>
          <m:t>2</m:t>
        </m:r>
      </m:oMath>
      <w:r>
        <w:t xml:space="preserve">) is</w:t>
      </w:r>
      <w:r>
        <w:t xml:space="preserve"> </w:t>
      </w:r>
      <m:oMath>
        <m:r>
          <m:rPr>
            <m:sty m:val="p"/>
          </m:rPr>
          <m:t>−</m:t>
        </m:r>
        <m:r>
          <m:t>23.6</m:t>
        </m:r>
      </m:oMath>
      <w:r>
        <w:t xml:space="preserve"> pcm vs. the OpenMC</w:t>
      </w:r>
      <w:r>
        <w:t xml:space="preserve"> </w:t>
      </w:r>
      <w:r>
        <w:t xml:space="preserve">homogenised reference, i.e. </w:t>
      </w:r>
      <m:oMath>
        <m:r>
          <m:rPr>
            <m:sty m:val="p"/>
          </m:rPr>
          <m:t>+</m:t>
        </m:r>
        <m:r>
          <m:t>12.7</m:t>
        </m:r>
      </m:oMath>
      <w:r>
        <w:t xml:space="preserve"> pcm vs. the high-fidelity</w:t>
      </w:r>
      <w:r>
        <w:t xml:space="preserve"> </w:t>
      </w:r>
      <w:r>
        <w:t xml:space="preserve">reference</w:t>
      </w:r>
      <w:r>
        <w:t xml:space="preserve"> </w:t>
      </w:r>
      <m:oMath>
        <m:r>
          <m:t>1.18646</m:t>
        </m:r>
      </m:oMath>
      <w:r>
        <w:t xml:space="preserve">; with the</w:t>
      </w:r>
      <w:r>
        <w:t xml:space="preserve"> </w:t>
      </w:r>
      <w:r>
        <w:t xml:space="preserve">rectangular-node model that removes homogenisation entirely,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lands at</w:t>
      </w:r>
      <w:r>
        <w:t xml:space="preserve"> </w:t>
      </w:r>
      <m:oMath>
        <m:r>
          <m:rPr>
            <m:sty m:val="p"/>
          </m:rPr>
          <m:t>+</m:t>
        </m:r>
        <m:r>
          <m:t>11.1</m:t>
        </m:r>
      </m:oMath>
      <w:r>
        <w:t xml:space="preserve"> pcm vs. the OpenMC explicit-geometry reference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3.3</m:t>
        </m:r>
      </m:oMath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±</m:t>
        </m:r>
        <m:r>
          <m:t>3.4</m:t>
        </m:r>
      </m:oMath>
      <w:r>
        <w:t xml:space="preserve"> pcm standard error) and</w:t>
      </w:r>
      <w:r>
        <w:t xml:space="preserve"> </w:t>
      </w:r>
      <m:oMath>
        <m:r>
          <m:rPr>
            <m:sty m:val="p"/>
          </m:rPr>
          <m:t>+</m:t>
        </m:r>
        <m:r>
          <m:t>14.7</m:t>
        </m:r>
      </m:oMath>
      <w:r>
        <w:t xml:space="preserve"> pcm vs. </w:t>
      </w:r>
      <m:oMath>
        <m:r>
          <m:t>1.18646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rPr>
            <m:sty m:val="p"/>
          </m:rPr>
          <m:t>−</m:t>
        </m:r>
        <m:r>
          <m:t>61.1</m:t>
        </m:r>
      </m:oMath>
      <w:r>
        <w:t xml:space="preserve"> pcm vs. the OpenMC run on the identical</w:t>
      </w:r>
      <w:r>
        <w:t xml:space="preserve"> </w:t>
      </w:r>
      <w:r>
        <w:t xml:space="preserve">rectangular-rod geometry (Section 4.4); the pin-level fission maps agree</w:t>
      </w:r>
      <w:r>
        <w:t xml:space="preserve"> </w:t>
      </w:r>
      <w:r>
        <w:t xml:space="preserve">within</w:t>
      </w:r>
      <w:r>
        <w:t xml:space="preserve"> </w:t>
      </w:r>
      <m:oMath>
        <m:r>
          <m:t>0.6</m:t>
        </m:r>
        <m:r>
          <m:rPr>
            <m:sty m:val="p"/>
          </m:rPr>
          <m:t>%</m:t>
        </m:r>
      </m:oMath>
      <w:r>
        <w:t xml:space="preserve"> </w:t>
      </w:r>
      <w:r>
        <w:t xml:space="preserve">RMS on both geometries.</w:t>
      </w:r>
      <w:r>
        <w:t xml:space="preserve"> </w:t>
      </w:r>
      <w:r>
        <w:t xml:space="preserve">In either case OpenPSN sits inside the MOC reference cluster</w:t>
      </w:r>
      <w:r>
        <w:t xml:space="preserve"> </w:t>
      </w:r>
      <w:r>
        <w:t xml:space="preserve">(</w:t>
      </w:r>
      <m:oMath>
        <m:r>
          <m:rPr>
            <m:sty m:val="p"/>
          </m:rPr>
          <m:t>±</m:t>
        </m:r>
        <m:r>
          <m:t>37</m:t>
        </m:r>
      </m:oMath>
      <w:r>
        <w:t xml:space="preserve"> pcm, plus the better-differenced SN and unstructured codes),</w:t>
      </w:r>
      <w:r>
        <w:t xml:space="preserve"> </w:t>
      </w:r>
      <w:r>
        <w:t xml:space="preserve">and the rectangular-node result is within 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angular</w:t>
      </w:r>
      <w:r>
        <w:t xml:space="preserve"> </w:t>
      </w:r>
      <w:r>
        <w:t xml:space="preserve">convergence of the nodal PSN method on this problem.</w:t>
      </w:r>
    </w:p>
    <w:p>
      <w:pPr>
        <w:pStyle w:val="FirstParagraph"/>
      </w:pPr>
      <w:r>
        <w:t xml:space="preserve">Two published outliers are worth noting for completeness: COHINT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interface currents,</w:t>
      </w:r>
      <w:r>
        <w:t xml:space="preserve"> </w:t>
      </w:r>
      <m:oMath>
        <m:r>
          <m:rPr>
            <m:sty m:val="p"/>
          </m:rPr>
          <m:t>−</m:t>
        </m:r>
        <m:r>
          <m:t>1125</m:t>
        </m:r>
      </m:oMath>
      <w:r>
        <w:t xml:space="preserve"> pcm) and HELIOS (collision probability,</w:t>
      </w:r>
      <w:r>
        <w:t xml:space="preserve"> </w:t>
      </w:r>
      <m:oMath>
        <m:r>
          <m:rPr>
            <m:sty m:val="p"/>
          </m:rPr>
          <m:t>+</m:t>
        </m:r>
        <m:r>
          <m:t>675</m:t>
        </m:r>
      </m:oMath>
      <w:r>
        <w:t xml:space="preserve"> pcm), both far outside the converged cluster and attributable to</w:t>
      </w:r>
      <w:r>
        <w:t xml:space="preserve"> </w:t>
      </w:r>
      <w:r>
        <w:t xml:space="preserve">their respective current/transport approximations.</w:t>
      </w:r>
    </w:p>
    <w:bookmarkEnd w:id="51"/>
    <w:bookmarkEnd w:id="52"/>
    <w:bookmarkStart w:id="53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We built</w:t>
      </w:r>
      <w:r>
        <w:t xml:space="preserve"> </w:t>
      </w:r>
      <w:r>
        <w:rPr>
          <w:b/>
          <w:bCs/>
        </w:rPr>
        <w:t xml:space="preserve">OpenPSN</w:t>
      </w:r>
      <w:r>
        <w:t xml:space="preserve">, a clean, multi-group, sparse, vectorised</w:t>
      </w:r>
      <w:r>
        <w:t xml:space="preserve"> </w:t>
      </w:r>
      <w:r>
        <w:t xml:space="preserve">implementation of the Phase Space Nodal method, and validated it on two</w:t>
      </w:r>
      <w:r>
        <w:t xml:space="preserve"> </w:t>
      </w:r>
      <w:r>
        <w:t xml:space="preserve">levels. On the source paper’s problems it reproduces all 248 published</w:t>
      </w:r>
      <w:r>
        <w:t xml:space="preserve"> </w:t>
      </w:r>
      <w:r>
        <w:t xml:space="preserve">eigenvalue data points to a few pcm (full point-by-point comparison in</w:t>
      </w:r>
      <w:r>
        <w:t xml:space="preserve"> </w:t>
      </w:r>
      <w:r>
        <w:t xml:space="preserve">Appendix A) while removing the dense-formulation</w:t>
      </w:r>
      <w:r>
        <w:t xml:space="preserve"> </w:t>
      </w:r>
      <w:r>
        <w:t xml:space="preserve">memory blow-up</w:t>
      </w:r>
      <w:r>
        <w:t xml:space="preserve"> </w:t>
      </w:r>
      <w:r>
        <w:t xml:space="preserve">(exact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; the 10404-node C5G7 case assembles in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54   and converges in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54 min on one core, where</w:t>
      </w:r>
      <w:r>
        <w:t xml:space="preserve"> </w:t>
      </w:r>
      <w:r>
        <w:t xml:space="preserve">the dense form would need 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504   matrix). We also</w:t>
      </w:r>
      <w:r>
        <w:t xml:space="preserve"> </w:t>
      </w:r>
      <w:r>
        <w:t xml:space="preserve">extended the node operators to arbitrary per-node widths, giving the first</w:t>
      </w:r>
      <w:r>
        <w:t xml:space="preserve"> </w:t>
      </w:r>
      <w:r>
        <w:t xml:space="preserve">PSN implementation with explicit, un-homogenised intra-node</w:t>
      </w:r>
      <w:r>
        <w:t xml:space="preserve"> </w:t>
      </w:r>
      <w:r>
        <w:t xml:space="preserve">fuel/water structure.</w:t>
      </w:r>
    </w:p>
    <w:p>
      <w:pPr>
        <w:pStyle w:val="BodyText"/>
      </w:pPr>
      <w:r>
        <w:t xml:space="preserve">On the C5G7 MOX benchmark the two studies separate the two error sources</w:t>
      </w:r>
      <w:r>
        <w:t xml:space="preserve"> </w:t>
      </w:r>
      <w:r>
        <w:t xml:space="preserve">that a nodal code carries. In the</w:t>
      </w:r>
      <w:r>
        <w:t xml:space="preserve"> </w:t>
      </w:r>
      <w:r>
        <w:rPr>
          <w:i/>
          <w:iCs/>
        </w:rPr>
        <w:t xml:space="preserve">pinwise-homogenised</w:t>
      </w:r>
      <w:r>
        <w:t xml:space="preserve"> </w:t>
      </w:r>
      <w:r>
        <w:t xml:space="preserve">study, the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sweep against a directly computed OpenMC reference on the same</w:t>
      </w:r>
      <w:r>
        <w:t xml:space="preserve"> </w:t>
      </w:r>
      <w:r>
        <w:t xml:space="preserve">homogenised data shows the discretisation converging cleanly: the assembly</w:t>
      </w:r>
      <w:r>
        <w:t xml:space="preserve"> </w:t>
      </w:r>
      <w:r>
        <w:t xml:space="preserve">error reaches the Monte Carlo standard error (</w:t>
      </w:r>
      <m:oMath>
        <m:r>
          <m:rPr>
            <m:sty m:val="p"/>
          </m:rPr>
          <m:t>≈</m:t>
        </m:r>
      </m:oMath>
      <w:r>
        <w:t xml:space="preserve">3.5 pcm) by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8</m:t>
        </m:r>
      </m:oMath>
      <w:r>
        <w:t xml:space="preserve">, and the best core point (with the self-shielding-aware</w:t>
      </w:r>
      <w:r>
        <w:t xml:space="preserve"> </w:t>
      </w:r>
      <w:r>
        <w:t xml:space="preserve">BWW recipe) is</w:t>
      </w:r>
      <w:r>
        <w:t xml:space="preserve"> </w:t>
      </w:r>
      <m:oMath>
        <m:r>
          <m:rPr>
            <m:sty m:val="p"/>
          </m:rPr>
          <m:t>−</m:t>
        </m:r>
        <m:r>
          <m:t>23.6</m:t>
        </m:r>
      </m:oMath>
      <w:r>
        <w:t xml:space="preserve"> pcm versus the OpenMC homogenised reference,</w:t>
      </w:r>
      <w:r>
        <w:t xml:space="preserve"> </w:t>
      </w:r>
      <w:r>
        <w:t xml:space="preserve">i.e. </w:t>
      </w:r>
      <m:oMath>
        <m:r>
          <m:rPr>
            <m:sty m:val="p"/>
          </m:rPr>
          <m:t>+</m:t>
        </m:r>
        <m:r>
          <m:t>12.7</m:t>
        </m:r>
      </m:oMath>
      <w:r>
        <w:t xml:space="preserve"> pcm versus the high-fidelity reference</w:t>
      </w:r>
      <w:r>
        <w:t xml:space="preserve"> </w:t>
      </w:r>
      <m:oMath>
        <m:r>
          <m:t>1.18646</m:t>
        </m:r>
      </m:oMath>
      <w:r>
        <w:t xml:space="preserve">. That residual is the homogenisation</w:t>
      </w:r>
      <w:r>
        <w:t xml:space="preserve"> </w:t>
      </w:r>
      <w:r>
        <w:t xml:space="preserve">model itself, and the best-point pin-power field agrees with the</w:t>
      </w:r>
      <w:r>
        <w:t xml:space="preserve"> </w:t>
      </w:r>
      <w:r>
        <w:t xml:space="preserve">same-recipe OpenMC map to</w:t>
      </w:r>
      <w:r>
        <w:t xml:space="preserve"> </w:t>
      </w:r>
      <m:oMath>
        <m:r>
          <m:t>0.12</m:t>
        </m:r>
        <m:r>
          <m:rPr>
            <m:sty m:val="p"/>
          </m:rPr>
          <m:t>%</m:t>
        </m:r>
      </m:oMath>
      <w:r>
        <w:t xml:space="preserve"> </w:t>
      </w:r>
      <w:r>
        <w:t xml:space="preserve">RMS (max</w:t>
      </w:r>
      <w:r>
        <w:t xml:space="preserve"> </w:t>
      </w:r>
      <m:oMath>
        <m:r>
          <m:t>0.45</m:t>
        </m:r>
        <m:r>
          <m:rPr>
            <m:sty m:val="p"/>
          </m:rPr>
          <m:t>%</m:t>
        </m:r>
      </m:oMath>
      <w:r>
        <w:t xml:space="preserve">): a smooth</w:t>
      </w:r>
      <w:r>
        <w:t xml:space="preserve"> </w:t>
      </w:r>
      <w:r>
        <w:t xml:space="preserve">method-level bias, not a cancellation of local errors.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rectangular-node</w:t>
      </w:r>
      <w:r>
        <w:t xml:space="preserve"> </w:t>
      </w:r>
      <w:r>
        <w:t xml:space="preserve">study the homogenisation model is removed</w:t>
      </w:r>
      <w:r>
        <w:t xml:space="preserve"> </w:t>
      </w:r>
      <w:r>
        <w:t xml:space="preserve">entirely: with un-homogenised 7-group material data the 1/4-core eigenvalue</w:t>
      </w:r>
      <w:r>
        <w:t xml:space="preserve"> </w:t>
      </w:r>
      <w:r>
        <w:t xml:space="preserve">converges</w:t>
      </w:r>
      <w:r>
        <w:t xml:space="preserve"> </w:t>
      </w:r>
      <w:r>
        <w:t xml:space="preserve">monotonically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into the OpenMC explicit-geometry reference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112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39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11</m:t>
        </m:r>
      </m:oMath>
      <w:r>
        <w:t xml:space="preserve"> pcm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→</m:t>
        </m:r>
        <m:r>
          <m:t>16</m:t>
        </m:r>
      </m:oMath>
      <w:r>
        <w:t xml:space="preserve">), lands</w:t>
      </w:r>
      <w:r>
        <w:t xml:space="preserve"> </w:t>
      </w:r>
      <m:oMath>
        <m:r>
          <m:rPr>
            <m:sty m:val="p"/>
          </m:rPr>
          <m:t>+</m:t>
        </m:r>
        <m:r>
          <m:t>14.7</m:t>
        </m:r>
      </m:oMath>
      <w:r>
        <w:t xml:space="preserve"> pcm from the high-fidelity reference</w:t>
      </w:r>
      <w:r>
        <w:t xml:space="preserve"> </w:t>
      </w:r>
      <m:oMath>
        <m:r>
          <m:t>1.18646</m:t>
        </m:r>
      </m:oMath>
      <w:r>
        <w:t xml:space="preserve">, and its pin-averaged</w:t>
      </w:r>
      <w:r>
        <w:t xml:space="preserve"> </w:t>
      </w:r>
      <w:r>
        <w:t xml:space="preserve">fission map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f</m:t>
            </m:r>
          </m:sub>
        </m:sSub>
        <m:r>
          <m:t>ϕ</m:t>
        </m:r>
      </m:oMath>
      <w:r>
        <w:t xml:space="preserve"> </w:t>
      </w:r>
      <w:r>
        <w:t xml:space="preserve">(the same quantity as the Monte</w:t>
      </w:r>
      <w:r>
        <w:t xml:space="preserve"> </w:t>
      </w:r>
      <w:r>
        <w:t xml:space="preserve">Carlo fission tally) agrees with OpenMC to</w:t>
      </w:r>
      <w:r>
        <w:t xml:space="preserve"> </w:t>
      </w:r>
      <m:oMath>
        <m:r>
          <m:t>0.07</m:t>
        </m:r>
        <m:r>
          <m:rPr>
            <m:sty m:val="p"/>
          </m:rPr>
          <m:t>%</m:t>
        </m:r>
      </m:oMath>
      <w:r>
        <w:t xml:space="preserve"> </w:t>
      </w:r>
      <w:r>
        <w:t xml:space="preserve">RMS on the single assembly and</w:t>
      </w:r>
      <w:r>
        <w:t xml:space="preserve"> </w:t>
      </w:r>
      <m:oMath>
        <m:r>
          <m:t>0.72</m:t>
        </m:r>
        <m:r>
          <m:rPr>
            <m:sty m:val="p"/>
          </m:rPr>
          <m:t>%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t>1056</m:t>
        </m:r>
      </m:oMath>
      <w:r>
        <w:t xml:space="preserve"> </w:t>
      </w:r>
      <w:r>
        <w:t xml:space="preserve">fuel pins</w:t>
      </w:r>
      <w:r>
        <w:t xml:space="preserve"> </w:t>
      </w:r>
      <w:r>
        <w:t xml:space="preserve">of the core (max</w:t>
      </w:r>
      <w:r>
        <w:t xml:space="preserve"> </w:t>
      </w:r>
      <m:oMath>
        <m:r>
          <m:t>1.52</m:t>
        </m:r>
        <m:r>
          <m:rPr>
            <m:sty m:val="p"/>
          </m:rPr>
          <m:t>%</m:t>
        </m:r>
      </m:oMath>
      <w:r>
        <w:t xml:space="preserve">; below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within every assembly, largest in</w:t>
      </w:r>
      <w:r>
        <w:t xml:space="preserve"> </w:t>
      </w:r>
      <w:r>
        <w:t xml:space="preserve">the MOX cells where the local gradients are steepest).</w:t>
      </w:r>
      <w:r>
        <w:t xml:space="preserve"> </w:t>
      </w:r>
      <w:r>
        <w:t xml:space="preserve">Placed against the 20-code NEA landscape and the recent P1/SP3/SN/nodal</w:t>
      </w:r>
      <w:r>
        <w:t xml:space="preserve"> </w:t>
      </w:r>
      <w:r>
        <w:t xml:space="preserve">literature, both OpenPSN results sit inside the high-fidelity MOC</w:t>
      </w:r>
      <w:r>
        <w:t xml:space="preserve"> </w:t>
      </w:r>
      <w:r>
        <w:t xml:space="preserve">reference cluster: the nodal PSN method, once its homogenisation model is</w:t>
      </w:r>
      <w:r>
        <w:t xml:space="preserve"> </w:t>
      </w:r>
      <w:r>
        <w:t xml:space="preserve">controlled (by a self-shielding-aware recipe or by explicit rectangular</w:t>
      </w:r>
      <w:r>
        <w:t xml:space="preserve"> </w:t>
      </w:r>
      <w:r>
        <w:t xml:space="preserve">nodes), reproduces resolved-pin transport at a fraction of the mesh cost</w:t>
      </w:r>
      <w:r>
        <w:t xml:space="preserve"> </w:t>
      </w:r>
      <w:r>
        <w:t xml:space="preserve">of discrete-ordinates or characteristics methods.</w:t>
      </w:r>
    </w:p>
    <w:bookmarkEnd w:id="53"/>
    <w:bookmarkStart w:id="60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This work received no external funding. The build and the</w:t>
      </w:r>
      <w:r>
        <w:t xml:space="preserve"> </w:t>
      </w:r>
      <w:r>
        <w:t xml:space="preserve">performance-optimisation work on OpenPSN (sparse assembly, vectorised node</w:t>
      </w:r>
      <w:r>
        <w:t xml:space="preserve"> </w:t>
      </w:r>
      <w:r>
        <w:t xml:space="preserve">operators) were carried out with the assistance of a large language model</w:t>
      </w:r>
      <w:r>
        <w:t xml:space="preserve"> </w:t>
      </w:r>
      <w:r>
        <w:t xml:space="preserve">(Qwen3.8 27B) running on local hardware.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Y.-A. Chao, Z. Li, and G. Chen,</w:t>
      </w:r>
      <w:r>
        <w:t xml:space="preserve"> </w:t>
      </w:r>
      <w:r>
        <w:t xml:space="preserve">“Diffusion-based phase space nodal method</w:t>
      </w:r>
      <w:r>
        <w:t xml:space="preserve"> </w:t>
      </w:r>
      <w:r>
        <w:t xml:space="preserve">(PSN): Solving the neutron transport equation with a diffusion code,”</w:t>
      </w:r>
      <w:r>
        <w:t xml:space="preserve"> </w:t>
      </w:r>
      <w:r>
        <w:rPr>
          <w:i/>
          <w:iCs/>
        </w:rPr>
        <w:t xml:space="preserve">Annals of Nuclear Energy</w:t>
      </w:r>
      <w:r>
        <w:t xml:space="preserve"> </w:t>
      </w:r>
      <w:r>
        <w:rPr>
          <w:b/>
          <w:bCs/>
        </w:rPr>
        <w:t xml:space="preserve">240</w:t>
      </w:r>
      <w:r>
        <w:t xml:space="preserve"> </w:t>
      </w:r>
      <w:r>
        <w:t xml:space="preserve">(2027) 112707</w:t>
      </w:r>
      <w:r>
        <w:t xml:space="preserve"> </w:t>
      </w:r>
      <w:r>
        <w:t xml:space="preserve"> </w:t>
      </w:r>
      <w:hyperlink r:id="rId54">
        <w:r>
          <w:rPr>
            <w:rStyle w:val="Hyperlink"/>
          </w:rPr>
          <w:t xml:space="preserve">doi:10.1016/j.anucene.2026.112707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Benchmark on Deterministic Transport Calculations Without Spatial</w:t>
      </w:r>
      <w:r>
        <w:rPr>
          <w:i/>
          <w:iCs/>
        </w:rPr>
        <w:t xml:space="preserve"> </w:t>
      </w:r>
      <w:r>
        <w:rPr>
          <w:i/>
          <w:iCs/>
        </w:rPr>
        <w:t xml:space="preserve">Homogenisation: A 2-D/3-D MOX Fuel Assembly Benchmark</w:t>
      </w:r>
      <w:r>
        <w:t xml:space="preserve">, OECD/NEA NSC</w:t>
      </w:r>
      <w:r>
        <w:t xml:space="preserve"> </w:t>
      </w:r>
      <w:r>
        <w:t xml:space="preserve">document NEA/NSC/DOC(2003)16 (2003). 2-D 20-code comparison,</w:t>
      </w:r>
      <w:r>
        <w:t xml:space="preserve"> </w:t>
      </w:r>
      <w:r>
        <w:t xml:space="preserve">Tables 16–20.</w:t>
      </w:r>
    </w:p>
    <w:p>
      <w:pPr>
        <w:pStyle w:val="BodyText"/>
      </w:pPr>
      <w:r>
        <w:t xml:space="preserve">M. A. Smith, E. E. Lewis, and B.-C. Na,</w:t>
      </w:r>
      <w:r>
        <w:t xml:space="preserve"> </w:t>
      </w:r>
      <w:r>
        <w:t xml:space="preserve">“Benchmark on deterministic</w:t>
      </w:r>
      <w:r>
        <w:t xml:space="preserve"> </w:t>
      </w:r>
      <w:r>
        <w:t xml:space="preserve">2-D MOX fuel assembly transport calculations without spatial</w:t>
      </w:r>
      <w:r>
        <w:t xml:space="preserve"> </w:t>
      </w:r>
      <w:r>
        <w:t xml:space="preserve">homogenization,”</w:t>
      </w:r>
      <w:r>
        <w:t xml:space="preserve"> </w:t>
      </w:r>
      <w:r>
        <w:rPr>
          <w:i/>
          <w:iCs/>
        </w:rPr>
        <w:t xml:space="preserve">Progress in Nuclear Energy</w:t>
      </w:r>
      <w:r>
        <w:t xml:space="preserve"> </w:t>
      </w:r>
      <w:r>
        <w:rPr>
          <w:b/>
          <w:bCs/>
        </w:rPr>
        <w:t xml:space="preserve">45</w:t>
      </w:r>
      <w:r>
        <w:t xml:space="preserve"> </w:t>
      </w:r>
      <w:r>
        <w:t xml:space="preserve">(2004)</w:t>
      </w:r>
      <w:r>
        <w:t xml:space="preserve"> </w:t>
      </w:r>
      <w:r>
        <w:t xml:space="preserve">107–118  </w:t>
      </w:r>
      <w:hyperlink r:id="rId55">
        <w:r>
          <w:rPr>
            <w:rStyle w:val="Hyperlink"/>
          </w:rPr>
          <w:t xml:space="preserve">doi:10.1016/j.pnueene.2004.09.003</w:t>
        </w:r>
      </w:hyperlink>
      <w:r>
        <w:t xml:space="preserve">.</w:t>
      </w:r>
    </w:p>
    <w:p>
      <w:pPr>
        <w:pStyle w:val="BodyText"/>
      </w:pPr>
      <w:r>
        <w:t xml:space="preserve">J. Hou, K. N. Ivanov, V. F. Boyarinov, and P. A. Fomichenko,</w:t>
      </w:r>
      <w:r>
        <w:t xml:space="preserve"> </w:t>
      </w:r>
      <w:r>
        <w:t xml:space="preserve">“OECD/NEA</w:t>
      </w:r>
      <w:r>
        <w:t xml:space="preserve"> </w:t>
      </w:r>
      <w:r>
        <w:t xml:space="preserve">benchmark for time-dependent neutron transport calculations without</w:t>
      </w:r>
      <w:r>
        <w:t xml:space="preserve"> </w:t>
      </w:r>
      <w:r>
        <w:t xml:space="preserve">spatial homogenization,”</w:t>
      </w:r>
      <w:r>
        <w:t xml:space="preserve"> </w:t>
      </w:r>
      <w:r>
        <w:rPr>
          <w:i/>
          <w:iCs/>
        </w:rPr>
        <w:t xml:space="preserve">Nuclear Engineering and Design</w:t>
      </w:r>
      <w:r>
        <w:t xml:space="preserve"> </w:t>
      </w:r>
      <w:r>
        <w:rPr>
          <w:b/>
          <w:bCs/>
        </w:rPr>
        <w:t xml:space="preserve">317</w:t>
      </w:r>
      <w:r>
        <w:t xml:space="preserve"> </w:t>
      </w:r>
      <w:r>
        <w:t xml:space="preserve">(2017) 177–189  </w:t>
      </w:r>
      <w:hyperlink r:id="rId56">
        <w:r>
          <w:rPr>
            <w:rStyle w:val="Hyperlink"/>
          </w:rPr>
          <w:t xml:space="preserve">doi:10.1016/j.nucengdes.2017.02.008</w:t>
        </w:r>
      </w:hyperlink>
      <w:r>
        <w:t xml:space="preserve">.</w:t>
      </w:r>
    </w:p>
    <w:p>
      <w:pPr>
        <w:pStyle w:val="BodyText"/>
      </w:pPr>
      <w:r>
        <w:t xml:space="preserve">C. N. McGraw, M. L. Adams, W. D. Hawkins, M. P. Adams, and T. Smith,</w:t>
      </w:r>
      <w:r>
        <w:t xml:space="preserve"> </w:t>
      </w:r>
      <w:r>
        <w:t xml:space="preserve">“Accuracy of the linear discontinuous Galerkin method for reactor</w:t>
      </w:r>
      <w:r>
        <w:t xml:space="preserve"> </w:t>
      </w:r>
      <w:r>
        <w:t xml:space="preserve">analyses with resolved fuel pins,”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PHYSOR 2014</w:t>
      </w:r>
      <w:r>
        <w:t xml:space="preserve">, Kyoto,</w:t>
      </w:r>
      <w:r>
        <w:t xml:space="preserve"> </w:t>
      </w:r>
      <w:r>
        <w:t xml:space="preserve">Japan, 2014. (2-D C5G7 resolved-fuel-pin high-fidelity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1.186456</m:t>
        </m:r>
      </m:oMath>
      <w:r>
        <w:t xml:space="preserve">.)</w:t>
      </w:r>
    </w:p>
    <w:p>
      <w:pPr>
        <w:pStyle w:val="BodyText"/>
      </w:pPr>
      <w:r>
        <w:t xml:space="preserve">Y. Wang, M. D. DeHart, D. R. Gaston, F. N. Gleicher, R. C. Martineau,</w:t>
      </w:r>
      <w:r>
        <w:t xml:space="preserve"> </w:t>
      </w:r>
      <w:r>
        <w:t xml:space="preserve">J. Ortensi, J. W. Peterson, and S. Schunert,</w:t>
      </w:r>
      <w:r>
        <w:t xml:space="preserve"> </w:t>
      </w:r>
      <w:r>
        <w:t xml:space="preserve">“Convergence study of</w:t>
      </w:r>
      <w:r>
        <w:t xml:space="preserve"> </w:t>
      </w:r>
      <w:r>
        <w:t xml:space="preserve">Rattlesnake solutions for the two-dimensional C5G7 MOX benchmark,”</w:t>
      </w:r>
      <w:r>
        <w:t xml:space="preserve"> </w:t>
      </w:r>
      <w:r>
        <w:t xml:space="preserve">INL/CON-15-34115, ANS MC2015. Converged high-fidelity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1.186446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1 pcm from the Ref. </w:t>
      </w:r>
      <w:r>
        <w:t xml:space="preserve"> </w:t>
      </w:r>
      <w:r>
        <w:t xml:space="preserve">reference).</w:t>
      </w:r>
    </w:p>
    <w:p>
      <w:pPr>
        <w:pStyle w:val="BodyText"/>
      </w:pPr>
      <w:r>
        <w:t xml:space="preserve">H. H. Cho, J. Kang, J. I. Yoon, and H. G. Joo,</w:t>
      </w:r>
      <w:r>
        <w:t xml:space="preserve"> </w:t>
      </w:r>
      <w:r>
        <w:t xml:space="preserve">“Analysis of C5G7-TD</w:t>
      </w:r>
      <w:r>
        <w:t xml:space="preserve"> </w:t>
      </w:r>
      <w:r>
        <w:t xml:space="preserve">benchmark with a multi-group pin homogenized SP3 code SPHINCS,”</w:t>
      </w:r>
      <w:r>
        <w:t xml:space="preserve"> </w:t>
      </w:r>
      <w:r>
        <w:rPr>
          <w:i/>
          <w:iCs/>
        </w:rPr>
        <w:t xml:space="preserve">Nuclear Engineering and Technology</w:t>
      </w:r>
      <w:r>
        <w:t xml:space="preserve"> </w:t>
      </w:r>
      <w:r>
        <w:rPr>
          <w:b/>
          <w:bCs/>
        </w:rPr>
        <w:t xml:space="preserve">53</w:t>
      </w:r>
      <w:r>
        <w:t xml:space="preserve">(5) (2021)</w:t>
      </w:r>
      <w:r>
        <w:t xml:space="preserve"> </w:t>
      </w:r>
      <w:r>
        <w:t xml:space="preserve">1403–1415  </w:t>
      </w:r>
      <w:hyperlink r:id="rId57">
        <w:r>
          <w:rPr>
            <w:rStyle w:val="Hyperlink"/>
          </w:rPr>
          <w:t xml:space="preserve">doi:10.1016/j.net.2020.11.013</w:t>
        </w:r>
      </w:hyperlink>
      <w:r>
        <w:t xml:space="preserve">. Table 1: nTRACER single-assembly</w:t>
      </w:r>
      <w:r>
        <w:t xml:space="preserve"> </w:t>
      </w:r>
      <w:r>
        <w:t xml:space="preserve">references (UO2</w:t>
      </w:r>
      <w:r>
        <w:t xml:space="preserve"> </w:t>
      </w:r>
      <m:oMath>
        <m:r>
          <m:t>1.33367</m:t>
        </m:r>
      </m:oMath>
      <w:r>
        <w:t xml:space="preserve">; UO2-</w:t>
      </w:r>
      <m:oMath>
        <m:r>
          <m:t>0.95</m:t>
        </m:r>
        <m:r>
          <m:t>ρ</m:t>
        </m:r>
      </m:oMath>
      <w:r>
        <w:t xml:space="preserve"> </w:t>
      </w:r>
      <m:oMath>
        <m:r>
          <m:t>1.32936</m:t>
        </m:r>
      </m:oMath>
      <w:r>
        <w:t xml:space="preserve">) with the SPHINCS</w:t>
      </w:r>
      <w:r>
        <w:t xml:space="preserve"> </w:t>
      </w:r>
      <w:r>
        <w:t xml:space="preserve">w/o-SPH value</w:t>
      </w:r>
      <w:r>
        <w:t xml:space="preserve"> </w:t>
      </w:r>
      <m:oMath>
        <m:r>
          <m:t>1.33123</m:t>
        </m:r>
      </m:oMath>
      <w:r>
        <w:t xml:space="preserve">; Table 2: 2-D core</w:t>
      </w:r>
      <w:r>
        <w:t xml:space="preserve"> </w:t>
      </w:r>
      <m:oMath>
        <m:r>
          <m:rPr>
            <m:sty m:val="p"/>
          </m:rPr>
          <m:t>Δ</m:t>
        </m:r>
        <m:r>
          <m:t>ρ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225</m:t>
        </m:r>
      </m:oMath>
      <w:r>
        <w:t xml:space="preserve"> pcm</w:t>
      </w:r>
      <w:r>
        <w:t xml:space="preserve"> </w:t>
      </w:r>
      <w:r>
        <w:t xml:space="preserve">(w/o SPH) to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 pcm (w/ SPH) vs the nTRACER reference.</w:t>
      </w:r>
    </w:p>
    <w:p>
      <w:pPr>
        <w:pStyle w:val="BodyText"/>
      </w:pPr>
      <w:r>
        <w:t xml:space="preserve">P. K. Romano, N. E. Horelik, B. R. Herman, A. G. Nelson, B. Forget, and</w:t>
      </w:r>
      <w:r>
        <w:t xml:space="preserve"> </w:t>
      </w:r>
      <w:r>
        <w:t xml:space="preserve">K. Smith,</w:t>
      </w:r>
      <w:r>
        <w:t xml:space="preserve"> </w:t>
      </w:r>
      <w:r>
        <w:t xml:space="preserve">“OpenMC: A state-of-the-art Monte Carlo code for research</w:t>
      </w:r>
      <w:r>
        <w:t xml:space="preserve"> </w:t>
      </w:r>
      <w:r>
        <w:t xml:space="preserve">and development,”</w:t>
      </w:r>
      <w:r>
        <w:t xml:space="preserve"> </w:t>
      </w:r>
      <w:r>
        <w:rPr>
          <w:i/>
          <w:iCs/>
        </w:rPr>
        <w:t xml:space="preserve">Annals of Nuclear Energy</w:t>
      </w:r>
      <w:r>
        <w:t xml:space="preserve"> </w:t>
      </w:r>
      <w:r>
        <w:rPr>
          <w:b/>
          <w:bCs/>
        </w:rPr>
        <w:t xml:space="preserve">82</w:t>
      </w:r>
      <w:r>
        <w:t xml:space="preserve"> </w:t>
      </w:r>
      <w:r>
        <w:t xml:space="preserve">(2015)</w:t>
      </w:r>
      <w:r>
        <w:t xml:space="preserve"> </w:t>
      </w:r>
      <w:r>
        <w:t xml:space="preserve">90–97  </w:t>
      </w:r>
      <w:hyperlink r:id="rId58">
        <w:r>
          <w:rPr>
            <w:rStyle w:val="Hyperlink"/>
          </w:rPr>
          <w:t xml:space="preserve">doi:10.1016/j.anucene.2014.07.048</w:t>
        </w:r>
      </w:hyperlink>
      <w:r>
        <w:t xml:space="preserve">.</w:t>
      </w:r>
    </w:p>
    <w:p>
      <w:pPr>
        <w:pStyle w:val="BodyText"/>
      </w:pPr>
      <w:r>
        <w:t xml:space="preserve">C. Tang,</w:t>
      </w:r>
      <w:r>
        <w:t xml:space="preserve"> </w:t>
      </w:r>
      <w:r>
        <w:t xml:space="preserve">“Development and verification of a SP3 code using</w:t>
      </w:r>
      <w:r>
        <w:t xml:space="preserve"> </w:t>
      </w:r>
      <w:r>
        <w:t xml:space="preserve">semi-analytic nodal method for pin-by-pin calculation,”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M&amp;C 2017</w:t>
      </w:r>
      <w:r>
        <w:t xml:space="preserve">, Jeju, Korea, 2017. (C5G7-2D pin-hom: STELLA-P1</w:t>
      </w:r>
      <w:r>
        <w:t xml:space="preserve"> </w:t>
      </w:r>
      <m:oMath>
        <m:r>
          <m:t>1.18426</m:t>
        </m:r>
      </m:oMath>
      <w:r>
        <w:t xml:space="preserve">, STELLA-SP3</w:t>
      </w:r>
      <w:r>
        <w:t xml:space="preserve"> </w:t>
      </w:r>
      <m:oMath>
        <m:r>
          <m:t>1.18561</m:t>
        </m:r>
      </m:oMath>
      <w:r>
        <w:t xml:space="preserve">; PEACH MOC reference</w:t>
      </w:r>
      <w:r>
        <w:t xml:space="preserve"> </w:t>
      </w:r>
      <m:oMath>
        <m:r>
          <m:t>1.18716</m:t>
        </m:r>
      </m:oMath>
      <w:r>
        <w:t xml:space="preserve">.)</w:t>
      </w:r>
    </w:p>
    <w:p>
      <w:pPr>
        <w:pStyle w:val="BodyText"/>
      </w:pPr>
      <w:r>
        <w:t xml:space="preserve">C. Tang and S. Zhang,</w:t>
      </w:r>
      <w:r>
        <w:t xml:space="preserve"> </w:t>
      </w:r>
      <w:r>
        <w:t xml:space="preserve">“Development and verification of an MOC code</w:t>
      </w:r>
      <w:r>
        <w:t xml:space="preserve"> </w:t>
      </w:r>
      <w:r>
        <w:t xml:space="preserve">employing assembly modular ray tracing and efficient acceleration</w:t>
      </w:r>
      <w:r>
        <w:t xml:space="preserve"> </w:t>
      </w:r>
      <w:r>
        <w:t xml:space="preserve">techniques,”</w:t>
      </w:r>
      <w:r>
        <w:t xml:space="preserve"> </w:t>
      </w:r>
      <w:r>
        <w:rPr>
          <w:i/>
          <w:iCs/>
        </w:rPr>
        <w:t xml:space="preserve">Annals of Nuclear Energy</w:t>
      </w:r>
      <w:r>
        <w:t xml:space="preserve"> </w:t>
      </w:r>
      <w:r>
        <w:rPr>
          <w:b/>
          <w:bCs/>
        </w:rPr>
        <w:t xml:space="preserve">36</w:t>
      </w:r>
      <w:r>
        <w:t xml:space="preserve"> </w:t>
      </w:r>
      <w:r>
        <w:t xml:space="preserve">(2009)</w:t>
      </w:r>
      <w:r>
        <w:t xml:space="preserve"> </w:t>
      </w:r>
      <w:r>
        <w:t xml:space="preserve">1013–1020  </w:t>
      </w:r>
      <w:hyperlink r:id="rId59">
        <w:r>
          <w:rPr>
            <w:rStyle w:val="Hyperlink"/>
          </w:rPr>
          <w:t xml:space="preserve">doi:10.1016/j.anucene.2009.06.007</w:t>
        </w:r>
      </w:hyperlink>
      <w:r>
        <w:t xml:space="preserve">.</w:t>
      </w:r>
    </w:p>
    <w:bookmarkEnd w:id="60"/>
    <w:bookmarkStart w:id="65" w:name="X9a75b1906afddb1a9ab52c7b6459e9b0d4627f9"/>
    <w:p>
      <w:pPr>
        <w:pStyle w:val="Heading1"/>
      </w:pPr>
      <w:r>
        <w:t xml:space="preserve">Full point-by-point reproduction of the published PSN results</w:t>
      </w:r>
    </w:p>
    <w:p>
      <w:pPr>
        <w:pStyle w:val="FirstParagraph"/>
      </w:pPr>
      <w:r>
        <w:t xml:space="preserve">Table </w:t>
      </w:r>
      <w:hyperlink w:anchor="tab:repro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summarised the maxima. Tables </w:t>
      </w:r>
      <w:hyperlink w:anchor="tab:appA">
        <w:r>
          <w:rPr>
            <w:rStyle w:val="Hyperlink"/>
          </w:rPr>
          <w:t xml:space="preserve">5</w:t>
        </w:r>
      </w:hyperlink>
      <w:r>
        <w:t xml:space="preserve">–</w:t>
      </w:r>
      <w:hyperlink w:anchor="tab:appD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give the complete 240-cell comparison for the three printed eigenvalue grids (checkerboard weak/strong, BWR without Gd) plus the with-Gd valley, in the same “this work / paper (</w:t>
      </w:r>
      <m:oMath>
        <m:r>
          <m:rPr>
            <m:sty m:val="p"/>
          </m:rPr>
          <m:t>Δ</m:t>
        </m:r>
      </m:oMath>
      <w:r>
        <w:t xml:space="preserve">) cell format used in the reproduction notes shipped in</w:t>
      </w:r>
      <w:r>
        <w:t xml:space="preserve"> </w:t>
      </w:r>
      <w:r>
        <w:rPr>
          <w:rStyle w:val="VerbatimChar"/>
        </w:rPr>
        <w:t xml:space="preserve">snapshot/</w:t>
      </w:r>
      <w:r>
        <w:t xml:space="preserve">. Row labels: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spatial subdivision of the checkerboard grid,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spatial grid of the BWR bundle. The remaining 8 points (restricted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24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</m:oMath>
      <w:r>
        <w:t xml:space="preserve">, weak/strong) agree with the printed Figs. 4–5 within the plot-reading uncertainty and are listed in</w:t>
      </w:r>
      <w:r>
        <w:t xml:space="preserve"> </w:t>
      </w:r>
      <w:r>
        <w:rPr>
          <w:rStyle w:val="VerbatimChar"/>
        </w:rPr>
        <w:t xml:space="preserve">snapshot/data/report_data.json</w:t>
      </w:r>
      <w:r>
        <w:t xml:space="preserve">.</w:t>
      </w:r>
    </w:p>
    <w:bookmarkStart w:id="61" w:name="tab:appA"/>
    <w:p>
      <w:pPr>
        <w:pStyle w:val="TableCaption"/>
      </w:pPr>
      <w:r>
        <w:t xml:space="preserve">Fig. 3-A, weak absorption, generic (</w:t>
      </w:r>
      <m:oMath>
        <m:r>
          <m:t>I</m:t>
        </m:r>
        <m:r>
          <m:rPr>
            <m:sty m:val="p"/>
          </m:rPr>
          <m:t>=</m:t>
        </m:r>
        <m:r>
          <m:t>30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vs the printed values (reference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1.12974</m:t>
        </m:r>
      </m:oMath>
      <w:r>
        <w:t xml:space="preserve">).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spatial subdivision.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g. 3-A, weak absorption, generic (I=30): \Delta vs the printed values (reference \kappa_{\mathrm{eff}}=1.12974). S = spatial subdivision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=12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=16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136.2</m:t>
              </m:r>
              <m:r>
                <m:rPr>
                  <m:sty m:val="p"/>
                </m:rPr>
                <m:t>/</m:t>
              </m:r>
              <m:r>
                <m:t>136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389.0</m:t>
              </m:r>
              <m:r>
                <m:rPr>
                  <m:sty m:val="p"/>
                </m:rPr>
                <m:t>/</m:t>
              </m:r>
              <m:r>
                <m:t>388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1.0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703.7</m:t>
              </m:r>
              <m:r>
                <m:rPr>
                  <m:sty m:val="p"/>
                </m:rPr>
                <m:t>/</m:t>
              </m:r>
              <m:r>
                <m:t>703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793.9</m:t>
              </m:r>
              <m:r>
                <m:rPr>
                  <m:sty m:val="p"/>
                </m:rPr>
                <m:t>/</m:t>
              </m:r>
              <m:r>
                <m:t>793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835.2</m:t>
              </m:r>
              <m:r>
                <m:rPr>
                  <m:sty m:val="p"/>
                </m:rPr>
                <m:t>/</m:t>
              </m:r>
              <m:r>
                <m:t>835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873.5</m:t>
              </m:r>
              <m:r>
                <m:rPr>
                  <m:sty m:val="p"/>
                </m:rPr>
                <m:t>/</m:t>
              </m:r>
              <m:r>
                <m:t>873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275.4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276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143.6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144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154.9</m:t>
              </m:r>
              <m:r>
                <m:rPr>
                  <m:sty m:val="p"/>
                </m:rPr>
                <m:t>/</m:t>
              </m:r>
              <m:r>
                <m:t>154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217.2</m:t>
              </m:r>
              <m:r>
                <m:rPr>
                  <m:sty m:val="p"/>
                </m:rPr>
                <m:t>/</m:t>
              </m:r>
              <m:r>
                <m:t>217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244.4</m:t>
              </m:r>
              <m:r>
                <m:rPr>
                  <m:sty m:val="p"/>
                </m:rPr>
                <m:t>/</m:t>
              </m:r>
              <m:r>
                <m:t>244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268.2</m:t>
              </m:r>
              <m:r>
                <m:rPr>
                  <m:sty m:val="p"/>
                </m:rPr>
                <m:t>/</m:t>
              </m:r>
              <m:r>
                <m:t>268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374.4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375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263.2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264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19.1</m:t>
              </m:r>
              <m:r>
                <m:rPr>
                  <m:sty m:val="p"/>
                </m:rPr>
                <m:t>/</m:t>
              </m:r>
              <m:r>
                <m:t>18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1.1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79.3</m:t>
              </m:r>
              <m:r>
                <m:rPr>
                  <m:sty m:val="p"/>
                </m:rPr>
                <m:t>/</m:t>
              </m:r>
              <m:r>
                <m:t>79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104.4</m:t>
              </m:r>
              <m:r>
                <m:rPr>
                  <m:sty m:val="p"/>
                </m:rPr>
                <m:t>/</m:t>
              </m:r>
              <m:r>
                <m:t>104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124.1</m:t>
              </m:r>
              <m:r>
                <m:rPr>
                  <m:sty m:val="p"/>
                </m:rPr>
                <m:t>/</m:t>
              </m:r>
              <m:r>
                <m:t>123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1.1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412.0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413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1.0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309.4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310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34.6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35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24.9</m:t>
              </m:r>
              <m:r>
                <m:rPr>
                  <m:sty m:val="p"/>
                </m:rPr>
                <m:t>/</m:t>
              </m:r>
              <m:r>
                <m:t>24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48.2</m:t>
              </m:r>
              <m:r>
                <m:rPr>
                  <m:sty m:val="p"/>
                </m:rPr>
                <m:t>/</m:t>
              </m:r>
              <m:r>
                <m:t>47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1.2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66.9</m:t>
              </m:r>
              <m:r>
                <m:rPr>
                  <m:sty m:val="p"/>
                </m:rPr>
                <m:t>/</m:t>
              </m:r>
              <m:r>
                <m:t>66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430.1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431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332.1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333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61.2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62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2.7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20.2</m:t>
              </m:r>
              <m:r>
                <m:rPr>
                  <m:sty m:val="p"/>
                </m:rPr>
                <m:t>/</m:t>
              </m:r>
              <m:r>
                <m:t>19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1.2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38.2</m:t>
              </m:r>
              <m:r>
                <m:rPr>
                  <m:sty m:val="p"/>
                </m:rPr>
                <m:t>/</m:t>
              </m:r>
              <m:r>
                <m:t>38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440.3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441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344.8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346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1.2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76.3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77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18.5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4.1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1.1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21.8</m:t>
              </m:r>
              <m:r>
                <m:rPr>
                  <m:sty m:val="p"/>
                </m:rPr>
                <m:t>/</m:t>
              </m:r>
              <m:r>
                <m:t>21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446.5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447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352.7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353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85.7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86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28.4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11.4</m:t>
              </m:r>
              <m:r>
                <m:rPr>
                  <m:sty m:val="p"/>
                </m:rPr>
                <m:t>/</m:t>
              </m:r>
              <m:r>
                <m:t>11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450.5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451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357.9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359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1.1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92.0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93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1.0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35.0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36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1.0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12.9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1.1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4.4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453.4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454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361.5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362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96.3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97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39.6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17.7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455.4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456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364.1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365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99.5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100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43.0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44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1.0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22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bookmarkEnd w:id="61"/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each cell is “this work / paper (</w:t>
      </w:r>
      <m:oMath>
        <m:r>
          <m:rPr>
            <m:sty m:val="p"/>
          </m:rPr>
          <m:t>Δ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= this work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paper, in pcm; paper values as printed in Ref. </w:t>
      </w:r>
      <w:r>
        <w:t xml:space="preserve">; the Fig. 10/12 references are read from the printed contour plots (</w:t>
      </w:r>
      <m:oMath>
        <m:r>
          <m:rPr>
            <m:sty m:val="p"/>
          </m:rPr>
          <m:t>±</m:t>
        </m:r>
        <m:r>
          <m:t>1</m:t>
        </m:r>
      </m:oMath>
      <w:r>
        <w:t xml:space="preserve">–</w:t>
      </w:r>
      <m:oMath>
        <m:r>
          <m:t>2</m:t>
        </m:r>
      </m:oMath>
      <w:r>
        <w:t xml:space="preserve"> pcm reading uncertainty).</w:t>
      </w:r>
    </w:p>
    <w:bookmarkStart w:id="62" w:name="tab:appB"/>
    <w:p>
      <w:pPr>
        <w:pStyle w:val="TableCaption"/>
      </w:pPr>
      <w:r>
        <w:t xml:space="preserve">Fig. 3-B, strong absorption, generic (</w:t>
      </w:r>
      <m:oMath>
        <m:r>
          <m:t>I</m:t>
        </m:r>
        <m:r>
          <m:rPr>
            <m:sty m:val="p"/>
          </m:rPr>
          <m:t>=</m:t>
        </m:r>
        <m:r>
          <m:t>30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vs the printed values (reference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0.51673</m:t>
        </m:r>
      </m:oMath>
      <w:r>
        <w:t xml:space="preserve">).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spatial subdivision.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g. 3-B, strong absorption, generic (I=30): \Delta vs the printed values (reference \kappa_{\mathrm{eff}}=0.51673). S = spatial subdivision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=12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=16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591.0</m:t>
              </m:r>
              <m:r>
                <m:rPr>
                  <m:sty m:val="p"/>
                </m:rPr>
                <m:t>/</m:t>
              </m:r>
              <m:r>
                <m:t>591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1762.4</m:t>
              </m:r>
              <m:r>
                <m:rPr>
                  <m:sty m:val="p"/>
                </m:rPr>
                <m:t>/</m:t>
              </m:r>
              <m:r>
                <m:t>1763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3199.2</m:t>
              </m:r>
              <m:r>
                <m:rPr>
                  <m:sty m:val="p"/>
                </m:rPr>
                <m:t>/</m:t>
              </m:r>
              <m:r>
                <m:t>3199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3596.7</m:t>
              </m:r>
              <m:r>
                <m:rPr>
                  <m:sty m:val="p"/>
                </m:rPr>
                <m:t>/</m:t>
              </m:r>
              <m:r>
                <m:t>3597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3776.6</m:t>
              </m:r>
              <m:r>
                <m:rPr>
                  <m:sty m:val="p"/>
                </m:rPr>
                <m:t>/</m:t>
              </m:r>
              <m:r>
                <m:t>3777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3941.3</m:t>
              </m:r>
              <m:r>
                <m:rPr>
                  <m:sty m:val="p"/>
                </m:rPr>
                <m:t>/</m:t>
              </m:r>
              <m:r>
                <m:t>3941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1534.9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1535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790.2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790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807.9</m:t>
              </m:r>
              <m:r>
                <m:rPr>
                  <m:sty m:val="p"/>
                </m:rPr>
                <m:t>/</m:t>
              </m:r>
              <m:r>
                <m:t>808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1132.7</m:t>
              </m:r>
              <m:r>
                <m:rPr>
                  <m:sty m:val="p"/>
                </m:rPr>
                <m:t>/</m:t>
              </m:r>
              <m:r>
                <m:t>1133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1271.3</m:t>
              </m:r>
              <m:r>
                <m:rPr>
                  <m:sty m:val="p"/>
                </m:rPr>
                <m:t>/</m:t>
              </m:r>
              <m:r>
                <m:t>1271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1392.4</m:t>
              </m:r>
              <m:r>
                <m:rPr>
                  <m:sty m:val="p"/>
                </m:rPr>
                <m:t>/</m:t>
              </m:r>
              <m:r>
                <m:t>1393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2068.0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2068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1425.6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1425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113.2</m:t>
              </m:r>
              <m:r>
                <m:rPr>
                  <m:sty m:val="p"/>
                </m:rPr>
                <m:t>/</m:t>
              </m:r>
              <m:r>
                <m:t>113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431.2</m:t>
              </m:r>
              <m:r>
                <m:rPr>
                  <m:sty m:val="p"/>
                </m:rPr>
                <m:t>/</m:t>
              </m:r>
              <m:r>
                <m:t>431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563.2</m:t>
              </m:r>
              <m:r>
                <m:rPr>
                  <m:sty m:val="p"/>
                </m:rPr>
                <m:t>/</m:t>
              </m:r>
              <m:r>
                <m:t>563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666.4</m:t>
              </m:r>
              <m:r>
                <m:rPr>
                  <m:sty m:val="p"/>
                </m:rPr>
                <m:t>/</m:t>
              </m:r>
              <m:r>
                <m:t>666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2272.6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2272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1676.0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1676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170.0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170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145.3</m:t>
              </m:r>
              <m:r>
                <m:rPr>
                  <m:sty m:val="p"/>
                </m:rPr>
                <m:t>/</m:t>
              </m:r>
              <m:r>
                <m:t>145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269.2</m:t>
              </m:r>
              <m:r>
                <m:rPr>
                  <m:sty m:val="p"/>
                </m:rPr>
                <m:t>/</m:t>
              </m:r>
              <m:r>
                <m:t>269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367.8</m:t>
              </m:r>
              <m:r>
                <m:rPr>
                  <m:sty m:val="p"/>
                </m:rPr>
                <m:t>/</m:t>
              </m:r>
              <m:r>
                <m:t>368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2371.6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2372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1799.5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1799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311.9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312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120.5</m:t>
              </m:r>
              <m:r>
                <m:rPr>
                  <m:sty m:val="p"/>
                </m:rPr>
                <m:t>/</m:t>
              </m:r>
              <m:r>
                <m:t>121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216.1</m:t>
              </m:r>
              <m:r>
                <m:rPr>
                  <m:sty m:val="p"/>
                </m:rPr>
                <m:t>/</m:t>
              </m:r>
              <m:r>
                <m:t>216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2427.0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2427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1869.2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1869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393.2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393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86.1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86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34.1</m:t>
              </m:r>
              <m:r>
                <m:rPr>
                  <m:sty m:val="p"/>
                </m:rPr>
                <m:t>/</m:t>
              </m:r>
              <m:r>
                <m:t>34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128.3</m:t>
              </m:r>
              <m:r>
                <m:rPr>
                  <m:sty m:val="p"/>
                </m:rPr>
                <m:t>/</m:t>
              </m:r>
              <m:r>
                <m:t>128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2461.0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2461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1912.3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1912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444.1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444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139.3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139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20.7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72.6</m:t>
              </m:r>
              <m:r>
                <m:rPr>
                  <m:sty m:val="p"/>
                </m:rPr>
                <m:t>/</m:t>
              </m:r>
              <m:r>
                <m:t>72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2483.3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2483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1940.8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1941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478.0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478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175.1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175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57.6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58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35.0</m:t>
              </m:r>
              <m:r>
                <m:rPr>
                  <m:sty m:val="p"/>
                </m:rPr>
                <m:t>/</m:t>
              </m:r>
              <m:r>
                <m:t>34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1.0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2498.8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2499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1960.6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1961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501.8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502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200.2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200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83.6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84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8.4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1.4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2510.0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2510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1974.9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1975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519.1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519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218.6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219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102.6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103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11.1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0.9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bookmarkEnd w:id="62"/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each cell is “this work / paper (</w:t>
      </w:r>
      <m:oMath>
        <m:r>
          <m:rPr>
            <m:sty m:val="p"/>
          </m:rPr>
          <m:t>Δ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= this work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paper, in pcm; paper values as printed in Ref. </w:t>
      </w:r>
      <w:r>
        <w:t xml:space="preserve">; the Fig. 10/12 references are read from the printed contour plots (</w:t>
      </w:r>
      <m:oMath>
        <m:r>
          <m:rPr>
            <m:sty m:val="p"/>
          </m:rPr>
          <m:t>±</m:t>
        </m:r>
        <m:r>
          <m:t>1</m:t>
        </m:r>
      </m:oMath>
      <w:r>
        <w:t xml:space="preserve">–</w:t>
      </w:r>
      <m:oMath>
        <m:r>
          <m:t>2</m:t>
        </m:r>
      </m:oMath>
      <w:r>
        <w:t xml:space="preserve"> pcm reading uncertainty).</w:t>
      </w:r>
    </w:p>
    <w:bookmarkStart w:id="63" w:name="tab:appC"/>
    <w:p>
      <w:pPr>
        <w:pStyle w:val="TableCaption"/>
      </w:pPr>
      <w:r>
        <w:t xml:space="preserve">Fig. 10, BWR 12-pin bundle without Gd (2-group):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vs the values read from the printed contour plot (reference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1.18797</m:t>
        </m:r>
      </m:oMath>
      <w:r>
        <w:t xml:space="preserve">).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spatial grid.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g. 10, BWR 12-pin bundle without Gd (2-group): \Delta vs the values read from the printed contour plot (reference \kappa_{\mathrm{eff}}=1.18797). N = spatial grid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=12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=16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126.4</m:t>
              </m:r>
              <m:r>
                <m:rPr>
                  <m:sty m:val="p"/>
                </m:rPr>
                <m:t>/</m:t>
              </m:r>
              <m:r>
                <m:t>123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74.8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78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122.2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125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2.8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140.3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144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149.1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152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2.9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154.2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157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2.8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206.5</m:t>
              </m:r>
              <m:r>
                <m:rPr>
                  <m:sty m:val="p"/>
                </m:rPr>
                <m:t>/</m:t>
              </m:r>
              <m:r>
                <m:t>203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28.3</m:t>
              </m:r>
              <m:r>
                <m:rPr>
                  <m:sty m:val="p"/>
                </m:rPr>
                <m:t>/</m:t>
              </m:r>
              <m:r>
                <m:t>25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15.6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31.9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35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40.1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43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2.9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44.9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48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226.2</m:t>
              </m:r>
              <m:r>
                <m:rPr>
                  <m:sty m:val="p"/>
                </m:rPr>
                <m:t>/</m:t>
              </m:r>
              <m:r>
                <m:t>223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54.8</m:t>
              </m:r>
              <m:r>
                <m:rPr>
                  <m:sty m:val="p"/>
                </m:rPr>
                <m:t>/</m:t>
              </m:r>
              <m:r>
                <m:t>51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3.8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12.5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3.6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11.6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16.3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233.7</m:t>
              </m:r>
              <m:r>
                <m:rPr>
                  <m:sty m:val="p"/>
                </m:rPr>
                <m:t>/</m:t>
              </m:r>
              <m:r>
                <m:t>230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65.2</m:t>
              </m:r>
              <m:r>
                <m:rPr>
                  <m:sty m:val="p"/>
                </m:rPr>
                <m:t>/</m:t>
              </m:r>
              <m:r>
                <m:t>62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23.8</m:t>
              </m:r>
              <m:r>
                <m:rPr>
                  <m:sty m:val="p"/>
                </m:rPr>
                <m:t>/</m:t>
              </m:r>
              <m:r>
                <m:t>20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3.8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7.8</m:t>
              </m:r>
              <m:r>
                <m:rPr>
                  <m:sty m:val="p"/>
                </m:rPr>
                <m:t>/</m:t>
              </m:r>
              <m:r>
                <m:t>5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2.8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2.9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237.4</m:t>
              </m:r>
              <m:r>
                <m:rPr>
                  <m:sty m:val="p"/>
                </m:rPr>
                <m:t>/</m:t>
              </m:r>
              <m:r>
                <m:t>234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70.4</m:t>
              </m:r>
              <m:r>
                <m:rPr>
                  <m:sty m:val="p"/>
                </m:rPr>
                <m:t>/</m:t>
              </m:r>
              <m:r>
                <m:t>67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29.4</m:t>
              </m:r>
              <m:r>
                <m:rPr>
                  <m:sty m:val="p"/>
                </m:rPr>
                <m:t>/</m:t>
              </m:r>
              <m:r>
                <m:t>26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13.6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5.8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3.8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1.3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239.4</m:t>
              </m:r>
              <m:r>
                <m:rPr>
                  <m:sty m:val="p"/>
                </m:rPr>
                <m:t>/</m:t>
              </m:r>
              <m:r>
                <m:t>236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73.3</m:t>
              </m:r>
              <m:r>
                <m:rPr>
                  <m:sty m:val="p"/>
                </m:rPr>
                <m:t>/</m:t>
              </m:r>
              <m:r>
                <m:t>70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32.7</m:t>
              </m:r>
              <m:r>
                <m:rPr>
                  <m:sty m:val="p"/>
                </m:rPr>
                <m:t>/</m:t>
              </m:r>
              <m:r>
                <m:t>29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16.9</m:t>
              </m:r>
              <m:r>
                <m:rPr>
                  <m:sty m:val="p"/>
                </m:rPr>
                <m:t>/</m:t>
              </m:r>
              <m:r>
                <m:t>14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2.9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9.1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4.7</m:t>
              </m:r>
              <m:r>
                <m:rPr>
                  <m:sty m:val="p"/>
                </m:rPr>
                <m:t>/</m:t>
              </m:r>
              <m:r>
                <m:t>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240.6</m:t>
              </m:r>
              <m:r>
                <m:rPr>
                  <m:sty m:val="p"/>
                </m:rPr>
                <m:t>/</m:t>
              </m:r>
              <m:r>
                <m:t>237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75.1</m:t>
              </m:r>
              <m:r>
                <m:rPr>
                  <m:sty m:val="p"/>
                </m:rPr>
                <m:t>/</m:t>
              </m:r>
              <m:r>
                <m:t>72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34.7</m:t>
              </m:r>
              <m:r>
                <m:rPr>
                  <m:sty m:val="p"/>
                </m:rPr>
                <m:t>/</m:t>
              </m:r>
              <m:r>
                <m:t>31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19.0</m:t>
              </m:r>
              <m:r>
                <m:rPr>
                  <m:sty m:val="p"/>
                </m:rPr>
                <m:t>/</m:t>
              </m:r>
              <m:r>
                <m:t>16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11.3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6.9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2.9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241.4</m:t>
              </m:r>
              <m:r>
                <m:rPr>
                  <m:sty m:val="p"/>
                </m:rPr>
                <m:t>/</m:t>
              </m:r>
              <m:r>
                <m:t>238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76.3</m:t>
              </m:r>
              <m:r>
                <m:rPr>
                  <m:sty m:val="p"/>
                </m:rPr>
                <m:t>/</m:t>
              </m:r>
              <m:r>
                <m:t>73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36.0</m:t>
              </m:r>
              <m:r>
                <m:rPr>
                  <m:sty m:val="p"/>
                </m:rPr>
                <m:t>/</m:t>
              </m:r>
              <m:r>
                <m:t>33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20.4</m:t>
              </m:r>
              <m:r>
                <m:rPr>
                  <m:sty m:val="p"/>
                </m:rPr>
                <m:t>/</m:t>
              </m:r>
              <m:r>
                <m:t>17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12.7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8.3</m:t>
              </m:r>
              <m:r>
                <m:rPr>
                  <m:sty m:val="p"/>
                </m:rPr>
                <m:t>/</m:t>
              </m:r>
              <m:r>
                <m:t>5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242.0</m:t>
              </m:r>
              <m:r>
                <m:rPr>
                  <m:sty m:val="p"/>
                </m:rPr>
                <m:t>/</m:t>
              </m:r>
              <m:r>
                <m:t>239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77.2</m:t>
              </m:r>
              <m:r>
                <m:rPr>
                  <m:sty m:val="p"/>
                </m:rPr>
                <m:t>/</m:t>
              </m:r>
              <m:r>
                <m:t>74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37.0</m:t>
              </m:r>
              <m:r>
                <m:rPr>
                  <m:sty m:val="p"/>
                </m:rPr>
                <m:t>/</m:t>
              </m:r>
              <m:r>
                <m:t>34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21.4</m:t>
              </m:r>
              <m:r>
                <m:rPr>
                  <m:sty m:val="p"/>
                </m:rPr>
                <m:t>/</m:t>
              </m:r>
              <m:r>
                <m:t>18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13.7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9.3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242.4</m:t>
              </m:r>
              <m:r>
                <m:rPr>
                  <m:sty m:val="p"/>
                </m:rPr>
                <m:t>/</m:t>
              </m:r>
              <m:r>
                <m:t>239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77.8</m:t>
              </m:r>
              <m:r>
                <m:rPr>
                  <m:sty m:val="p"/>
                </m:rPr>
                <m:t>/</m:t>
              </m:r>
              <m:r>
                <m:t>74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3.8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37.7</m:t>
              </m:r>
              <m:r>
                <m:rPr>
                  <m:sty m:val="p"/>
                </m:rPr>
                <m:t>/</m:t>
              </m:r>
              <m:r>
                <m:t>34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22.1</m:t>
              </m:r>
              <m:r>
                <m:rPr>
                  <m:sty m:val="p"/>
                </m:rPr>
                <m:t>/</m:t>
              </m:r>
              <m:r>
                <m:t>19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14.5</m:t>
              </m:r>
              <m:r>
                <m:rPr>
                  <m:sty m:val="p"/>
                </m:rPr>
                <m:t>/</m:t>
              </m:r>
              <m:r>
                <m:t>11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10.1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3.1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bookmarkEnd w:id="63"/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each cell is “this work / paper (</w:t>
      </w:r>
      <m:oMath>
        <m:r>
          <m:rPr>
            <m:sty m:val="p"/>
          </m:rPr>
          <m:t>Δ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= this work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paper, in pcm; paper values as printed in Ref. </w:t>
      </w:r>
      <w:r>
        <w:t xml:space="preserve">; the Fig. 10/12 references are read from the printed contour plots (</w:t>
      </w:r>
      <m:oMath>
        <m:r>
          <m:rPr>
            <m:sty m:val="p"/>
          </m:rPr>
          <m:t>±</m:t>
        </m:r>
        <m:r>
          <m:t>1</m:t>
        </m:r>
      </m:oMath>
      <w:r>
        <w:t xml:space="preserve">–</w:t>
      </w:r>
      <m:oMath>
        <m:r>
          <m:t>2</m:t>
        </m:r>
      </m:oMath>
      <w:r>
        <w:t xml:space="preserve"> pcm reading uncertainty).</w:t>
      </w:r>
    </w:p>
    <w:bookmarkStart w:id="64" w:name="tab:appD"/>
    <w:p>
      <w:pPr>
        <w:pStyle w:val="TableCaption"/>
      </w:pPr>
      <w:r>
        <w:t xml:space="preserve">Fig. 12, BWR 12-pin bundle with Gd (2-group): this work only (the printed figure is a contour plot).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spatial grid. Bold = best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 the row (min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</m:oMath>
      <w:r>
        <w:t xml:space="preserve">); the valley shifts to lower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 exactly the Sec. 4.4 effect of the source paper. Best point overall: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1.1</m:t>
        </m:r>
      </m:oMath>
      <w:r>
        <w:t xml:space="preserve"> pcm.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g. 12, BWR 12-pin bundle with Gd (2-group): this work only (the printed figure is a contour plot). N = spatial grid. Bold = best M in the row (min |\Delta|); the valley shifts to lower M as N grows, exactly the Sec. 4.4 effect of the source paper. Best point overall: N=9, M=20, +1.1 pcm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=12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=16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=24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+311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+681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+746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+788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-998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-1264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-1346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-1375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-1397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-1415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+20</w:t>
            </w:r>
          </w:p>
        </w:tc>
      </w:tr>
    </w:tbl>
    <w:bookmarkEnd w:id="64"/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each cell is “this work / paper (</w:t>
      </w:r>
      <m:oMath>
        <m:r>
          <m:rPr>
            <m:sty m:val="p"/>
          </m:rPr>
          <m:t>Δ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= this work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paper, in pcm; paper values as printed in Ref. </w:t>
      </w:r>
      <w:r>
        <w:t xml:space="preserve">; the Fig. 10/12 references are read from the printed contour plots (</w:t>
      </w:r>
      <m:oMath>
        <m:r>
          <m:rPr>
            <m:sty m:val="p"/>
          </m:rPr>
          <m:t>±</m:t>
        </m:r>
        <m:r>
          <m:t>1</m:t>
        </m:r>
      </m:oMath>
      <w:r>
        <w:t xml:space="preserve">–</w:t>
      </w:r>
      <m:oMath>
        <m:r>
          <m:t>2</m:t>
        </m:r>
      </m:oMath>
      <w:r>
        <w:t xml:space="preserve"> pcm reading uncertainty).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image" Id="rId38" Target="media/rId38.png" /><Relationship Type="http://schemas.openxmlformats.org/officeDocument/2006/relationships/image" Id="rId31" Target="media/rId31.png" /><Relationship Type="http://schemas.openxmlformats.org/officeDocument/2006/relationships/image" Id="rId44" Target="media/rId44.png" /><Relationship Type="http://schemas.openxmlformats.org/officeDocument/2006/relationships/hyperlink" Id="rId59" Target="https://doi.org/10.1016/j.anucene.2009.06.007" TargetMode="External" /><Relationship Type="http://schemas.openxmlformats.org/officeDocument/2006/relationships/hyperlink" Id="rId58" Target="https://doi.org/10.1016/j.anucene.2014.07.048" TargetMode="External" /><Relationship Type="http://schemas.openxmlformats.org/officeDocument/2006/relationships/hyperlink" Id="rId54" Target="https://doi.org/10.1016/j.anucene.2026.112707" TargetMode="External" /><Relationship Type="http://schemas.openxmlformats.org/officeDocument/2006/relationships/hyperlink" Id="rId57" Target="https://doi.org/10.1016/j.net.2020.11.013" TargetMode="External" /><Relationship Type="http://schemas.openxmlformats.org/officeDocument/2006/relationships/hyperlink" Id="rId56" Target="https://doi.org/10.1016/j.nucengdes.2017.02.008" TargetMode="External" /><Relationship Type="http://schemas.openxmlformats.org/officeDocument/2006/relationships/hyperlink" Id="rId55" Target="https://doi.org/10.1016/j.pnueene.2004.09.0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doi.org/10.1016/j.anucene.2009.06.007" TargetMode="External" /><Relationship Type="http://schemas.openxmlformats.org/officeDocument/2006/relationships/hyperlink" Id="rId58" Target="https://doi.org/10.1016/j.anucene.2014.07.048" TargetMode="External" /><Relationship Type="http://schemas.openxmlformats.org/officeDocument/2006/relationships/hyperlink" Id="rId54" Target="https://doi.org/10.1016/j.anucene.2026.112707" TargetMode="External" /><Relationship Type="http://schemas.openxmlformats.org/officeDocument/2006/relationships/hyperlink" Id="rId57" Target="https://doi.org/10.1016/j.net.2020.11.013" TargetMode="External" /><Relationship Type="http://schemas.openxmlformats.org/officeDocument/2006/relationships/hyperlink" Id="rId56" Target="https://doi.org/10.1016/j.nucengdes.2017.02.008" TargetMode="External" /><Relationship Type="http://schemas.openxmlformats.org/officeDocument/2006/relationships/hyperlink" Id="rId55" Target="https://doi.org/10.1016/j.pnueene.2004.09.0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OpenPSN: a multi-group Phase Space Nodal solver with rectangular nodes, validated on the C5G7 MOX benchmark</dc:title>
  <dc:creator>Yuchao Xu University of South China, China yxu40@hotmail.com https://openpsn-ai.com</dc:creator>
  <cp:keywords/>
  <dcterms:created xsi:type="dcterms:W3CDTF">2026-09-09T11:39:16Z</dcterms:created>
  <dcterms:modified xsi:type="dcterms:W3CDTF">2026-09-09T11:39:16Z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OpenPSN, a self-contained, multi-group implementation of the Phase Space Nodal (PSN) method for two-dimensional Cartesian neutron transport, together with a rigorous validation against the OECD Nuclear Energy Agency (NEA) C5G7 MOX benchmark. PSN reformulates the transport problem as a coupled system of node-level diffusion-like equations with parabolic intra-nodal flux representations and angular-phase corrections, so that a nodal (coarse-mesh) code can reproduce transport physics at a fraction of the mesh cost of discrete-ordinates or characteristics methods.We contribute two complementary results. First, a faithful, fully-vectorised, sparse re-implementation that reproduces the published PSN paper to within a few pcm on 248 independent eigenvalue data points (checkerboard and boiling-water-reactor (BWR) bundle problems), while eliminating the memory blow-up that made the original dense formulation infeasible: the smallest C5G7 case (2601 nodes, M=12) already needs a 63{,}036^{2} dense system matrix (\sim32   before any factorisation), and our sparse form is exact to 10^{-15} and assembles the 10{,}404-node refinement in \sim54  . Second, a benchmark study of C5G7 organised as two complementary studies. In the pinwise-homogenised study, OpenPSN is swept over spatial sub-division S=1\ldots6 and angular order M=2\ldots24 against a reference we compute directly with OpenMC on the identical homogenised cross sections (20000 batches \times 100 k particles, statistical uncertainty \approx3.5 pcm): the single-assembly error collapses to inside the Monte Carlo standard error by S{=}5–6, M\ge8. In the rectangular-node study we extend the PSN node operators to arbitrary per-node widths so that the circular fuel rod is replaced by an equal-area fuel square inside a 3\times3 rectangular tiling and un-homogenised (material) cross sections are used — removing the homogenisation model from the problem entirely. With un-homogenised material data, the 1/4-core eigenvalue converges monotonically with M into the OpenMC explicit-geometry reference, reaching \Delta\kappa_{\mathrm{eff}}=+11.1 pcm (+14.7 pcm vs. the high-fidelity reference 1.18646) by M{=}16, and -61.1 pcm against the identical rectangular-rod OpenMC geometry; the pin-averaged fission-rate maps agree with OpenMC at the sub-1% RMS level on both geometries. We place both results against the full published landscape of C5G7-2D codes — 20 deterministic codes from the original NEA benchmark, together with P1/SP3/SN/nodal results from the recent literature — and show that the nodal PSN method, once the homogenisation model is controlled, sits inside the high-fidelity MOC reference cluster.</vt:lpwstr>
  </property>
  <property fmtid="{D5CDD505-2E9C-101B-9397-08002B2CF9AE}" pid="3" name="date">
    <vt:lpwstr>September 2026 Preprint posted to ResearchGate. Code: github.com/xycjscs/OpenPSN</vt:lpwstr>
  </property>
</Properties>
</file>