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5B00FF0F" w:rsidR="002F1121" w:rsidRPr="0016733D" w:rsidRDefault="0069074A" w:rsidP="0042266B">
      <w:pPr>
        <w:ind w:left="720" w:firstLine="720"/>
        <w:rPr>
          <w:noProof/>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peta okupasi nasional bidang TIK</w:t>
      </w:r>
      <w:r w:rsidR="0056492B" w:rsidRPr="0016733D">
        <w:rPr>
          <w:noProof/>
        </w:rPr>
        <w:t xml:space="preserve">, </w:t>
      </w:r>
      <w:r w:rsidR="007D570D" w:rsidRPr="0016733D">
        <w:rPr>
          <w:noProof/>
        </w:rPr>
        <w:t>kondisi sumber daya manusia (SDM) bidang teknologi informasi dan komunikasi (TIK) dalam negeri</w:t>
      </w:r>
      <w:r w:rsidR="00536368" w:rsidRPr="0016733D">
        <w:rPr>
          <w:noProof/>
        </w:rPr>
        <w:t xml:space="preserve"> </w:t>
      </w:r>
      <w:r w:rsidR="007D570D" w:rsidRPr="0016733D">
        <w:rPr>
          <w:noProof/>
        </w:rPr>
        <w:t>cukup 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lini 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TIK. Salah satu faktor 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561B255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0E3FC6" w:rsidRPr="00D20A36">
        <w:rPr>
          <w:noProof/>
        </w:rPr>
        <w:t>e-</w:t>
      </w:r>
      <w:r w:rsidR="000E3FC6">
        <w:rPr>
          <w:noProof/>
          <w:lang w:val="en-AS"/>
        </w:rPr>
        <w:t>L</w:t>
      </w:r>
      <w:r w:rsidR="000E3FC6" w:rsidRPr="00D20A36">
        <w:rPr>
          <w:noProof/>
        </w:rPr>
        <w:t>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7F7B3D0"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4325FFE4" w:rsidR="002535D3" w:rsidRDefault="00787BCE" w:rsidP="00AE5676">
      <w:pPr>
        <w:ind w:left="720" w:firstLine="720"/>
        <w:rPr>
          <w:iCs/>
          <w:noProof/>
          <w:lang w:val="en-AS"/>
        </w:rPr>
      </w:pPr>
      <w:r>
        <w:rPr>
          <w:iCs/>
          <w:noProof/>
          <w:lang w:val="en-AS"/>
        </w:rPr>
        <w:lastRenderedPageBreak/>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025A66">
        <w:rPr>
          <w:iCs/>
          <w:noProof/>
          <w:lang w:val="en-AS"/>
        </w:rPr>
        <w:t>untuk mempraktikkan materi pembelajaran</w:t>
      </w:r>
      <w:r w:rsidR="00B34CB5">
        <w:rPr>
          <w:iCs/>
          <w:noProof/>
          <w:lang w:val="en-AS"/>
        </w:rPr>
        <w:t>.</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794B6DFE">
            <wp:extent cx="49911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1100" cy="1990725"/>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A014B79" w14:textId="6E08A641" w:rsidR="00884428" w:rsidRDefault="00884428" w:rsidP="004211CA">
      <w:pPr>
        <w:ind w:left="720"/>
        <w:rPr>
          <w:iCs/>
          <w:lang w:val="en-AS"/>
        </w:rPr>
      </w:pPr>
      <w:r>
        <w:rPr>
          <w:iCs/>
          <w:lang w:val="en-AS"/>
        </w:rPr>
        <w:lastRenderedPageBreak/>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lastRenderedPageBreak/>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lastRenderedPageBreak/>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w:t>
      </w:r>
      <w:r w:rsidRPr="0016733D">
        <w:rPr>
          <w:rFonts w:cs="Times New Roman"/>
          <w:noProof/>
          <w:szCs w:val="24"/>
        </w:rPr>
        <w:lastRenderedPageBreak/>
        <w:t xml:space="preserve">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lastRenderedPageBreak/>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lastRenderedPageBreak/>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lastRenderedPageBreak/>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lastRenderedPageBreak/>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w:t>
      </w:r>
      <w:proofErr w:type="spellStart"/>
      <w:r>
        <w:rPr>
          <w:i/>
          <w:iCs/>
          <w:lang w:val="en-AS"/>
        </w:rPr>
        <w:t>regiorious</w:t>
      </w:r>
      <w:proofErr w:type="spellEnd"/>
      <w:r>
        <w:rPr>
          <w:i/>
          <w:iCs/>
          <w:lang w:val="en-AS"/>
        </w:rPr>
        <w:t xml:space="preserve"> method to identify problems, gather the data, </w:t>
      </w:r>
      <w:proofErr w:type="spellStart"/>
      <w:r>
        <w:rPr>
          <w:i/>
          <w:iCs/>
          <w:lang w:val="en-AS"/>
        </w:rPr>
        <w:t>analyze</w:t>
      </w:r>
      <w:proofErr w:type="spellEnd"/>
      <w:r>
        <w:rPr>
          <w:i/>
          <w:iCs/>
          <w:lang w:val="en-AS"/>
        </w:rPr>
        <w:t xml:space="preserve"> them, and draw valid conclusions </w:t>
      </w:r>
      <w:proofErr w:type="spellStart"/>
      <w:r>
        <w:rPr>
          <w:i/>
          <w:iCs/>
          <w:lang w:val="en-AS"/>
        </w:rPr>
        <w:t>thereform</w:t>
      </w:r>
      <w:proofErr w:type="spellEnd"/>
      <w:r>
        <w:rPr>
          <w:i/>
          <w:iCs/>
          <w:lang w:val="en-AS"/>
        </w:rPr>
        <w:t xml:space="preserve">.”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7690E769">
            <wp:extent cx="4573905"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573905" cy="2828925"/>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15EA0F6A" w14:textId="33B113ED" w:rsidR="00CE757B" w:rsidRPr="0016733D" w:rsidRDefault="006B0AB7" w:rsidP="00DA7884">
      <w:pPr>
        <w:ind w:left="720" w:firstLine="720"/>
        <w:rPr>
          <w:noProof/>
        </w:rPr>
      </w:pPr>
      <w:r>
        <w:rPr>
          <w:noProof/>
          <w:lang w:val="en-AS"/>
        </w:rPr>
        <w:lastRenderedPageBreak/>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72F0E807"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itu berarti melaksanakan pekerjaan yang datang dan menggunakan papan dengan catatan 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7113A6">
        <w:rPr>
          <w:i/>
          <w:iCs/>
          <w:noProof/>
          <w:lang w:val="en-AS"/>
        </w:rPr>
        <w:t xml:space="preserve">bottlenecks </w:t>
      </w:r>
      <w:r w:rsidR="007113A6">
        <w:rPr>
          <w:noProof/>
          <w:lang w:val="en-AS"/>
        </w:rPr>
        <w:t>dan kesempatan untuk mengurangi waktu menganggur.</w:t>
      </w:r>
      <w:r w:rsidR="00C765E3">
        <w:rPr>
          <w:noProof/>
          <w:lang w:val="en-AS"/>
        </w:rPr>
        <w:t xml:space="preserve"> Metode </w:t>
      </w:r>
      <w:r w:rsidR="00C765E3">
        <w:rPr>
          <w:i/>
          <w:iCs/>
          <w:noProof/>
          <w:lang w:val="en-AS"/>
        </w:rPr>
        <w:t xml:space="preserve">Kanban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844F4A">
        <w:rPr>
          <w:i/>
          <w:iCs/>
          <w:noProof/>
          <w:lang w:val="en-AS"/>
        </w:rPr>
        <w:t>bottlenecks.</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5EA7E510" w:rsidR="00B970CB" w:rsidRPr="0016733D" w:rsidRDefault="00EC7747" w:rsidP="00024A29">
      <w:pPr>
        <w:ind w:left="720" w:firstLine="720"/>
        <w:rPr>
          <w:noProof/>
          <w:szCs w:val="24"/>
        </w:rPr>
      </w:pPr>
      <w:r w:rsidRPr="0016733D">
        <w:rPr>
          <w:noProof/>
        </w:rPr>
        <w:t xml:space="preserve">Pada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 </w:t>
      </w:r>
      <w:r w:rsidR="006325BA">
        <w:rPr>
          <w:i/>
          <w:iCs/>
          <w:noProof/>
          <w:lang w:val="en-AS"/>
        </w:rPr>
        <w:t>bottlenecks</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Pr="0080498D">
        <w:rPr>
          <w:i/>
          <w:iCs/>
          <w:noProof/>
        </w:rPr>
        <w:t>bottlenecks</w:t>
      </w:r>
      <w:r w:rsidRPr="0016733D">
        <w:rPr>
          <w:noProof/>
        </w:rPr>
        <w:t xml:space="preserve"> 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8"/>
          <w:footerReference w:type="default" r:id="rId19"/>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Tertiary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0"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6F861660"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1"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3"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4"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6"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7"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8"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9"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30"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1"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77E2139B" w14:textId="63285523" w:rsidR="004201D0"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lastRenderedPageBreak/>
        <w:fldChar w:fldCharType="end"/>
      </w:r>
      <w:r w:rsidR="004201D0" w:rsidRPr="004201D0">
        <w:t xml:space="preserve"> </w:t>
      </w:r>
      <w:r w:rsidR="004201D0" w:rsidRPr="004201D0">
        <w:rPr>
          <w:rFonts w:eastAsia="Times New Roman" w:cs="Times New Roman"/>
          <w:szCs w:val="24"/>
          <w:lang w:eastAsia="ja-JP"/>
        </w:rPr>
        <w:t xml:space="preserve">Ahmad, M. O., </w:t>
      </w:r>
      <w:proofErr w:type="spellStart"/>
      <w:r w:rsidR="004201D0" w:rsidRPr="004201D0">
        <w:rPr>
          <w:rFonts w:eastAsia="Times New Roman" w:cs="Times New Roman"/>
          <w:szCs w:val="24"/>
          <w:lang w:eastAsia="ja-JP"/>
        </w:rPr>
        <w:t>Dennehy</w:t>
      </w:r>
      <w:proofErr w:type="spellEnd"/>
      <w:r w:rsidR="004201D0" w:rsidRPr="004201D0">
        <w:rPr>
          <w:rFonts w:eastAsia="Times New Roman" w:cs="Times New Roman"/>
          <w:szCs w:val="24"/>
          <w:lang w:eastAsia="ja-JP"/>
        </w:rPr>
        <w:t xml:space="preserve">, D., </w:t>
      </w:r>
      <w:proofErr w:type="spellStart"/>
      <w:r w:rsidR="004201D0" w:rsidRPr="004201D0">
        <w:rPr>
          <w:rFonts w:eastAsia="Times New Roman" w:cs="Times New Roman"/>
          <w:szCs w:val="24"/>
          <w:lang w:eastAsia="ja-JP"/>
        </w:rPr>
        <w:t>Conboy</w:t>
      </w:r>
      <w:proofErr w:type="spellEnd"/>
      <w:r w:rsidR="004201D0" w:rsidRPr="004201D0">
        <w:rPr>
          <w:rFonts w:eastAsia="Times New Roman" w:cs="Times New Roman"/>
          <w:szCs w:val="24"/>
          <w:lang w:eastAsia="ja-JP"/>
        </w:rPr>
        <w:t xml:space="preserve">, K., &amp; </w:t>
      </w:r>
      <w:proofErr w:type="spellStart"/>
      <w:r w:rsidR="004201D0" w:rsidRPr="004201D0">
        <w:rPr>
          <w:rFonts w:eastAsia="Times New Roman" w:cs="Times New Roman"/>
          <w:szCs w:val="24"/>
          <w:lang w:eastAsia="ja-JP"/>
        </w:rPr>
        <w:t>Oivo</w:t>
      </w:r>
      <w:proofErr w:type="spellEnd"/>
      <w:r w:rsidR="004201D0" w:rsidRPr="004201D0">
        <w:rPr>
          <w:rFonts w:eastAsia="Times New Roman" w:cs="Times New Roman"/>
          <w:szCs w:val="24"/>
          <w:lang w:eastAsia="ja-JP"/>
        </w:rPr>
        <w:t xml:space="preserve">, M. (2018). </w:t>
      </w:r>
      <w:proofErr w:type="spellStart"/>
      <w:r w:rsidR="004201D0" w:rsidRPr="004201D0">
        <w:rPr>
          <w:rFonts w:eastAsia="Times New Roman" w:cs="Times New Roman"/>
          <w:szCs w:val="24"/>
          <w:lang w:eastAsia="ja-JP"/>
        </w:rPr>
        <w:t>Kanban</w:t>
      </w:r>
      <w:proofErr w:type="spellEnd"/>
      <w:r w:rsidR="004201D0" w:rsidRPr="004201D0">
        <w:rPr>
          <w:rFonts w:eastAsia="Times New Roman" w:cs="Times New Roman"/>
          <w:szCs w:val="24"/>
          <w:lang w:eastAsia="ja-JP"/>
        </w:rPr>
        <w:t xml:space="preserve"> in </w:t>
      </w:r>
      <w:proofErr w:type="spellStart"/>
      <w:r w:rsidR="004201D0" w:rsidRPr="004201D0">
        <w:rPr>
          <w:rFonts w:eastAsia="Times New Roman" w:cs="Times New Roman"/>
          <w:szCs w:val="24"/>
          <w:lang w:eastAsia="ja-JP"/>
        </w:rPr>
        <w:t>software</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engineering</w:t>
      </w:r>
      <w:proofErr w:type="spellEnd"/>
      <w:r w:rsidR="004201D0" w:rsidRPr="004201D0">
        <w:rPr>
          <w:rFonts w:eastAsia="Times New Roman" w:cs="Times New Roman"/>
          <w:szCs w:val="24"/>
          <w:lang w:eastAsia="ja-JP"/>
        </w:rPr>
        <w:t xml:space="preserve">: A </w:t>
      </w:r>
      <w:proofErr w:type="spellStart"/>
      <w:r w:rsidR="004201D0" w:rsidRPr="004201D0">
        <w:rPr>
          <w:rFonts w:eastAsia="Times New Roman" w:cs="Times New Roman"/>
          <w:szCs w:val="24"/>
          <w:lang w:eastAsia="ja-JP"/>
        </w:rPr>
        <w:t>systematic</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mapping</w:t>
      </w:r>
      <w:proofErr w:type="spellEnd"/>
      <w:r w:rsidR="004201D0" w:rsidRPr="004201D0">
        <w:rPr>
          <w:rFonts w:eastAsia="Times New Roman" w:cs="Times New Roman"/>
          <w:szCs w:val="24"/>
          <w:lang w:eastAsia="ja-JP"/>
        </w:rPr>
        <w:t xml:space="preserve"> study. </w:t>
      </w:r>
      <w:proofErr w:type="spellStart"/>
      <w:r w:rsidR="004201D0" w:rsidRPr="004201D0">
        <w:rPr>
          <w:rFonts w:eastAsia="Times New Roman" w:cs="Times New Roman"/>
          <w:i/>
          <w:iCs/>
          <w:szCs w:val="24"/>
          <w:lang w:eastAsia="ja-JP"/>
        </w:rPr>
        <w:t>Journal</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of</w:t>
      </w:r>
      <w:proofErr w:type="spellEnd"/>
      <w:r w:rsidR="004201D0" w:rsidRPr="004201D0">
        <w:rPr>
          <w:rFonts w:eastAsia="Times New Roman" w:cs="Times New Roman"/>
          <w:i/>
          <w:iCs/>
          <w:szCs w:val="24"/>
          <w:lang w:eastAsia="ja-JP"/>
        </w:rPr>
        <w:t xml:space="preserve"> Systems </w:t>
      </w:r>
      <w:proofErr w:type="spellStart"/>
      <w:r w:rsidR="004201D0" w:rsidRPr="004201D0">
        <w:rPr>
          <w:rFonts w:eastAsia="Times New Roman" w:cs="Times New Roman"/>
          <w:i/>
          <w:iCs/>
          <w:szCs w:val="24"/>
          <w:lang w:eastAsia="ja-JP"/>
        </w:rPr>
        <w:t>and</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Software</w:t>
      </w:r>
      <w:proofErr w:type="spellEnd"/>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2"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1D5702D9" w14:textId="2E14FE39" w:rsidR="00843EB5" w:rsidRDefault="00843EB5" w:rsidP="004201D0">
      <w:pPr>
        <w:spacing w:line="240" w:lineRule="auto"/>
        <w:jc w:val="left"/>
        <w:rPr>
          <w:rFonts w:eastAsia="Times New Roman" w:cs="Times New Roman"/>
          <w:szCs w:val="24"/>
          <w:lang w:val="en-AS" w:eastAsia="ja-JP"/>
        </w:rPr>
      </w:pPr>
    </w:p>
    <w:p w14:paraId="76699DCE" w14:textId="04E5EC30" w:rsidR="00843EB5" w:rsidRDefault="00843EB5" w:rsidP="00843EB5">
      <w:pPr>
        <w:spacing w:after="0" w:line="240" w:lineRule="auto"/>
        <w:jc w:val="left"/>
        <w:rPr>
          <w:rFonts w:eastAsia="Times New Roman" w:cs="Times New Roman"/>
          <w:szCs w:val="24"/>
          <w:lang w:val="en-AS" w:eastAsia="ja-JP"/>
        </w:rPr>
      </w:pPr>
      <w:proofErr w:type="spellStart"/>
      <w:r w:rsidRPr="00843EB5">
        <w:rPr>
          <w:rFonts w:eastAsia="Times New Roman" w:cs="Times New Roman"/>
          <w:szCs w:val="24"/>
          <w:lang w:eastAsia="ja-JP"/>
        </w:rPr>
        <w:t>Bibik</w:t>
      </w:r>
      <w:proofErr w:type="spellEnd"/>
      <w:r w:rsidRPr="00843EB5">
        <w:rPr>
          <w:rFonts w:eastAsia="Times New Roman" w:cs="Times New Roman"/>
          <w:szCs w:val="24"/>
          <w:lang w:eastAsia="ja-JP"/>
        </w:rPr>
        <w:t xml:space="preserve">, I. (2018). </w:t>
      </w:r>
      <w:proofErr w:type="spellStart"/>
      <w:r w:rsidRPr="00843EB5">
        <w:rPr>
          <w:rFonts w:eastAsia="Times New Roman" w:cs="Times New Roman"/>
          <w:szCs w:val="24"/>
          <w:lang w:eastAsia="ja-JP"/>
        </w:rPr>
        <w:t>How</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to</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Kill</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the</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Scrum</w:t>
      </w:r>
      <w:proofErr w:type="spellEnd"/>
      <w:r w:rsidRPr="00843EB5">
        <w:rPr>
          <w:rFonts w:eastAsia="Times New Roman" w:cs="Times New Roman"/>
          <w:szCs w:val="24"/>
          <w:lang w:eastAsia="ja-JP"/>
        </w:rPr>
        <w:t xml:space="preserve"> Monster. In </w:t>
      </w:r>
      <w:proofErr w:type="spellStart"/>
      <w:r w:rsidRPr="00843EB5">
        <w:rPr>
          <w:rFonts w:eastAsia="Times New Roman" w:cs="Times New Roman"/>
          <w:i/>
          <w:iCs/>
          <w:szCs w:val="24"/>
          <w:lang w:eastAsia="ja-JP"/>
        </w:rPr>
        <w:t>How</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to</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Kill</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the</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Scrum</w:t>
      </w:r>
      <w:proofErr w:type="spellEnd"/>
      <w:r w:rsidRPr="00843EB5">
        <w:rPr>
          <w:rFonts w:eastAsia="Times New Roman" w:cs="Times New Roman"/>
          <w:i/>
          <w:iCs/>
          <w:szCs w:val="24"/>
          <w:lang w:eastAsia="ja-JP"/>
        </w:rPr>
        <w:t xml:space="preserve"> Monster</w:t>
      </w:r>
      <w:r w:rsidRPr="00843EB5">
        <w:rPr>
          <w:rFonts w:eastAsia="Times New Roman" w:cs="Times New Roman"/>
          <w:szCs w:val="24"/>
          <w:lang w:eastAsia="ja-JP"/>
        </w:rPr>
        <w:t xml:space="preserve">. </w:t>
      </w:r>
      <w:hyperlink r:id="rId33"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03A291DB" w14:textId="0EC23CAD" w:rsidR="00843EB5" w:rsidRDefault="00843EB5" w:rsidP="00843EB5">
      <w:pPr>
        <w:spacing w:after="0" w:line="240" w:lineRule="auto"/>
        <w:jc w:val="left"/>
        <w:rPr>
          <w:rFonts w:eastAsia="Times New Roman" w:cs="Times New Roman"/>
          <w:szCs w:val="24"/>
          <w:lang w:val="en-AS" w:eastAsia="ja-JP"/>
        </w:rPr>
      </w:pPr>
    </w:p>
    <w:p w14:paraId="18FA1762" w14:textId="2F2657DB" w:rsidR="00DB13D5" w:rsidRPr="00DB13D5" w:rsidRDefault="00DB13D5" w:rsidP="00DB13D5">
      <w:pPr>
        <w:spacing w:after="0" w:line="240" w:lineRule="auto"/>
        <w:jc w:val="left"/>
        <w:rPr>
          <w:rFonts w:eastAsia="Times New Roman" w:cs="Times New Roman"/>
          <w:szCs w:val="24"/>
          <w:lang w:val="en-AS" w:eastAsia="ja-JP"/>
        </w:rPr>
      </w:pPr>
      <w:proofErr w:type="spellStart"/>
      <w:r w:rsidRPr="00DB13D5">
        <w:rPr>
          <w:rFonts w:eastAsia="Times New Roman" w:cs="Times New Roman"/>
          <w:szCs w:val="24"/>
          <w:lang w:eastAsia="ja-JP"/>
        </w:rPr>
        <w:t>Cross</w:t>
      </w:r>
      <w:proofErr w:type="spellEnd"/>
      <w:r w:rsidRPr="00DB13D5">
        <w:rPr>
          <w:rFonts w:eastAsia="Times New Roman" w:cs="Times New Roman"/>
          <w:szCs w:val="24"/>
          <w:lang w:eastAsia="ja-JP"/>
        </w:rPr>
        <w:t xml:space="preserve">, K. P., &amp; </w:t>
      </w:r>
      <w:proofErr w:type="spellStart"/>
      <w:r w:rsidRPr="00DB13D5">
        <w:rPr>
          <w:rFonts w:eastAsia="Times New Roman" w:cs="Times New Roman"/>
          <w:szCs w:val="24"/>
          <w:lang w:eastAsia="ja-JP"/>
        </w:rPr>
        <w:t>Boud</w:t>
      </w:r>
      <w:proofErr w:type="spellEnd"/>
      <w:r w:rsidRPr="00DB13D5">
        <w:rPr>
          <w:rFonts w:eastAsia="Times New Roman" w:cs="Times New Roman"/>
          <w:szCs w:val="24"/>
          <w:lang w:eastAsia="ja-JP"/>
        </w:rPr>
        <w:t>, D. (1987). Problem-</w:t>
      </w:r>
      <w:proofErr w:type="spellStart"/>
      <w:r w:rsidRPr="00DB13D5">
        <w:rPr>
          <w:rFonts w:eastAsia="Times New Roman" w:cs="Times New Roman"/>
          <w:szCs w:val="24"/>
          <w:lang w:eastAsia="ja-JP"/>
        </w:rPr>
        <w:t>Based</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Learning</w:t>
      </w:r>
      <w:proofErr w:type="spellEnd"/>
      <w:r w:rsidRPr="00DB13D5">
        <w:rPr>
          <w:rFonts w:eastAsia="Times New Roman" w:cs="Times New Roman"/>
          <w:szCs w:val="24"/>
          <w:lang w:eastAsia="ja-JP"/>
        </w:rPr>
        <w:t xml:space="preserve"> in </w:t>
      </w:r>
      <w:proofErr w:type="spellStart"/>
      <w:r w:rsidRPr="00DB13D5">
        <w:rPr>
          <w:rFonts w:eastAsia="Times New Roman" w:cs="Times New Roman"/>
          <w:szCs w:val="24"/>
          <w:lang w:eastAsia="ja-JP"/>
        </w:rPr>
        <w:t>Education</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for</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the</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Professions</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 xml:space="preserve">The </w:t>
      </w:r>
      <w:proofErr w:type="spellStart"/>
      <w:r w:rsidRPr="00DB13D5">
        <w:rPr>
          <w:rFonts w:eastAsia="Times New Roman" w:cs="Times New Roman"/>
          <w:i/>
          <w:iCs/>
          <w:szCs w:val="24"/>
          <w:lang w:eastAsia="ja-JP"/>
        </w:rPr>
        <w:t>Journal</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of</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Higher</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Education</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4"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4C9E8294" w14:textId="77777777" w:rsidR="00843EB5" w:rsidRPr="00843EB5" w:rsidRDefault="00843EB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5"/>
      <w:footerReference w:type="default" r:id="rId36"/>
      <w:headerReference w:type="first" r:id="rId37"/>
      <w:footerReference w:type="first" r:id="rId3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00C0" w14:textId="77777777" w:rsidR="003F2442" w:rsidRDefault="003F2442" w:rsidP="00725057">
      <w:pPr>
        <w:spacing w:after="0" w:line="240" w:lineRule="auto"/>
      </w:pPr>
      <w:r>
        <w:separator/>
      </w:r>
    </w:p>
  </w:endnote>
  <w:endnote w:type="continuationSeparator" w:id="0">
    <w:p w14:paraId="66A49A0D" w14:textId="77777777" w:rsidR="003F2442" w:rsidRDefault="003F2442"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2A46" w14:textId="77777777" w:rsidR="003F2442" w:rsidRDefault="003F2442" w:rsidP="00725057">
      <w:pPr>
        <w:spacing w:after="0" w:line="240" w:lineRule="auto"/>
      </w:pPr>
      <w:r>
        <w:separator/>
      </w:r>
    </w:p>
  </w:footnote>
  <w:footnote w:type="continuationSeparator" w:id="0">
    <w:p w14:paraId="5663944C" w14:textId="77777777" w:rsidR="003F2442" w:rsidRDefault="003F2442"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73D6"/>
    <w:rsid w:val="000C0CE3"/>
    <w:rsid w:val="000C415C"/>
    <w:rsid w:val="000C5A7A"/>
    <w:rsid w:val="000C5E1B"/>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49C0"/>
    <w:rsid w:val="0011722B"/>
    <w:rsid w:val="00120207"/>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363E"/>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B069F"/>
    <w:rsid w:val="002B1741"/>
    <w:rsid w:val="002B7BB9"/>
    <w:rsid w:val="002C0AC5"/>
    <w:rsid w:val="002C18B3"/>
    <w:rsid w:val="002D18C7"/>
    <w:rsid w:val="002D31E6"/>
    <w:rsid w:val="002D32C1"/>
    <w:rsid w:val="002D4F9C"/>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306B"/>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442"/>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6A6A"/>
    <w:rsid w:val="00447D7B"/>
    <w:rsid w:val="004514CE"/>
    <w:rsid w:val="0045237F"/>
    <w:rsid w:val="00452A1A"/>
    <w:rsid w:val="00453570"/>
    <w:rsid w:val="00454ED4"/>
    <w:rsid w:val="00457CAE"/>
    <w:rsid w:val="00457FE1"/>
    <w:rsid w:val="004614BE"/>
    <w:rsid w:val="0046293B"/>
    <w:rsid w:val="00464B10"/>
    <w:rsid w:val="00466965"/>
    <w:rsid w:val="00466B95"/>
    <w:rsid w:val="00467294"/>
    <w:rsid w:val="00467A49"/>
    <w:rsid w:val="00474AD2"/>
    <w:rsid w:val="00476949"/>
    <w:rsid w:val="0047748C"/>
    <w:rsid w:val="00477889"/>
    <w:rsid w:val="00480BE6"/>
    <w:rsid w:val="00482B55"/>
    <w:rsid w:val="00483CA9"/>
    <w:rsid w:val="00485F73"/>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19F5"/>
    <w:rsid w:val="005D4216"/>
    <w:rsid w:val="005E172B"/>
    <w:rsid w:val="005E3396"/>
    <w:rsid w:val="005E6C02"/>
    <w:rsid w:val="005F1848"/>
    <w:rsid w:val="005F2D4C"/>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5EFC"/>
    <w:rsid w:val="006370EA"/>
    <w:rsid w:val="00637C03"/>
    <w:rsid w:val="00640F2A"/>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3F91"/>
    <w:rsid w:val="006B511E"/>
    <w:rsid w:val="006C020D"/>
    <w:rsid w:val="006C0BCE"/>
    <w:rsid w:val="006C25F7"/>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3A6"/>
    <w:rsid w:val="00711648"/>
    <w:rsid w:val="00714AA8"/>
    <w:rsid w:val="00714C75"/>
    <w:rsid w:val="00714F26"/>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45C"/>
    <w:rsid w:val="00807E54"/>
    <w:rsid w:val="00815AA5"/>
    <w:rsid w:val="00822D48"/>
    <w:rsid w:val="008256D7"/>
    <w:rsid w:val="0082775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25F7"/>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E7F1F"/>
    <w:rsid w:val="00AF1E6C"/>
    <w:rsid w:val="00AF389A"/>
    <w:rsid w:val="00AF3F54"/>
    <w:rsid w:val="00AF6109"/>
    <w:rsid w:val="00AF62E8"/>
    <w:rsid w:val="00AF6423"/>
    <w:rsid w:val="00B026C5"/>
    <w:rsid w:val="00B05FE3"/>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1FB"/>
    <w:rsid w:val="00BD422D"/>
    <w:rsid w:val="00BD4A8E"/>
    <w:rsid w:val="00BD5FCC"/>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ED1"/>
    <w:rsid w:val="00C72B35"/>
    <w:rsid w:val="00C75D53"/>
    <w:rsid w:val="00C765E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1273"/>
    <w:rsid w:val="00EC387A"/>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90F42"/>
    <w:rsid w:val="00F921FA"/>
    <w:rsid w:val="00F967E9"/>
    <w:rsid w:val="00F96900"/>
    <w:rsid w:val="00FA29F2"/>
    <w:rsid w:val="00FA3E22"/>
    <w:rsid w:val="00FA4124"/>
    <w:rsid w:val="00FA5DA3"/>
    <w:rsid w:val="00FB0515"/>
    <w:rsid w:val="00FB1DBB"/>
    <w:rsid w:val="00FB2090"/>
    <w:rsid w:val="00FB6D69"/>
    <w:rsid w:val="00FB762E"/>
    <w:rsid w:val="00FC1793"/>
    <w:rsid w:val="00FC3EC3"/>
    <w:rsid w:val="00FC5E74"/>
    <w:rsid w:val="00FC60C1"/>
    <w:rsid w:val="00FC648A"/>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yperlink" Target="https://doi.org/10.1007/978-1-4302-0366-7" TargetMode="External"/><Relationship Id="rId39" Type="http://schemas.openxmlformats.org/officeDocument/2006/relationships/fontTable" Target="fontTable.xml"/><Relationship Id="rId21" Type="http://schemas.openxmlformats.org/officeDocument/2006/relationships/hyperlink" Target="https://doi.org/10.1007/BF02299477" TargetMode="External"/><Relationship Id="rId34" Type="http://schemas.openxmlformats.org/officeDocument/2006/relationships/hyperlink" Target="https://doi.org/10.2307/198132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35671/telematika.v9i1.413" TargetMode="External"/><Relationship Id="rId33" Type="http://schemas.openxmlformats.org/officeDocument/2006/relationships/hyperlink" Target="https://doi.org/10.1007/978-1-4842-3691-8"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4324/9781315042039" TargetMode="External"/><Relationship Id="rId29" Type="http://schemas.openxmlformats.org/officeDocument/2006/relationships/hyperlink" Target="https://doi.org/10.1145/3025453.30256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1831/jpv.v3i1.1584" TargetMode="External"/><Relationship Id="rId32" Type="http://schemas.openxmlformats.org/officeDocument/2006/relationships/hyperlink" Target="https://doi.org/10.1016/j.jss.2017.11.045"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4742/ajet.1791" TargetMode="External"/><Relationship Id="rId28" Type="http://schemas.openxmlformats.org/officeDocument/2006/relationships/hyperlink" Target="https://doi.org/10.1108/ILS-04-2020-0124" TargetMode="Externa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hyperlink" Target="https://doi.org/10.5851/kosfa.2016.36.6.80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007/978-3-642-78069-1_12" TargetMode="External"/><Relationship Id="rId27" Type="http://schemas.openxmlformats.org/officeDocument/2006/relationships/hyperlink" Target="https://doi.org/10.1016/j.chb.2019.08.004" TargetMode="External"/><Relationship Id="rId30" Type="http://schemas.openxmlformats.org/officeDocument/2006/relationships/hyperlink" Target="https://doi.org/10.1109/ICISC47916.2020.9171162"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18514</TotalTime>
  <Pages>25</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720</cp:revision>
  <cp:lastPrinted>2022-01-18T02:30:00Z</cp:lastPrinted>
  <dcterms:created xsi:type="dcterms:W3CDTF">2021-01-21T10:01:00Z</dcterms:created>
  <dcterms:modified xsi:type="dcterms:W3CDTF">2022-02-13T07:32:00Z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