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A26E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eastAsiaTheme="minorEastAsia"/>
          <w:sz w:val="28"/>
          <w:szCs w:val="28"/>
          <w:lang w:eastAsia="zh-CN"/>
        </w:rPr>
      </w:pPr>
      <w:r>
        <w:rPr>
          <w:rFonts w:hint="default" w:ascii="Times New Roman Regular" w:hAnsi="Times New Roman Regular" w:cs="Times New Roman Regular" w:eastAsiaTheme="minorEastAsia"/>
          <w:sz w:val="28"/>
          <w:szCs w:val="28"/>
          <w:lang w:eastAsia="zh-CN"/>
        </w:rPr>
        <w:t>Executive Summary</w:t>
      </w:r>
    </w:p>
    <w:p w14:paraId="5046EAB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lang w:val="en-US" w:eastAsia="zh-CN"/>
        </w:rPr>
        <w:t>Group 5</w:t>
      </w:r>
    </w:p>
    <w:p w14:paraId="4F2B91A0">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study analyzed the effects of heat treatment on cranberry yield and gallic acid concentration, and interpreted the results in combination with temperature and relative humidity data. Taking the unheated control plots as the benchmark conditions, the results showed that short-term high-intensity heat treatment had a significant negative impact on both fruit yield and quality, while the effect of long-term heating treatment was relatively weak and inconsistent among different varieties. Meanwhile, the difference in gallic acid concentration is mainly driven by variety effects rather than heat treatment itself.</w:t>
      </w:r>
    </w:p>
    <w:p w14:paraId="7F88FD72">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Specifically, under short-term high-temperature treatment, the yield of cranberries decreased significantly. Compared with the baseline conditions, the plots treated with thermal pulses generally produced fewer healthy fruits, with the yield of healthy fruits reduced by approximately several hundred grams. Meanwhile, the degree of fruit damage has significantly increased, indicating that short-term high temperatures not only reduced yields but also had an adverse impact on fruit quality. In contrast, during long-term heating treatment, the yield changes are relatively small, and the responses among different varieties are inconsistent, indicating that the overall impact of long-term heating is weak and unstable.</w:t>
      </w:r>
    </w:p>
    <w:p w14:paraId="40C5A442">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Compared with the yield results, the changes in gallic acid concentration presented different characteristics. The analysis results show that the differences are mainly determined by the varieties, while heat treatment does not exhibit stable or significant effects. The concentration of one variety was generally lower than that of the other, and this difference remained consistent under different treatment conditions. Furthermore, the differences among different regions also suggest that local environmental factors may have an impact on concentration changes.</w:t>
      </w:r>
    </w:p>
    <w:p w14:paraId="712DF25C">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To understand the above results, temperature and humidity data provide important background information. The temperature data analysis in this study mainly focuses on the short-term thermal pulse stage, that is, based on the heating start and end information given in the experimental records, only the actual time when the heat treatment occurs is analyzed. At this stage, heating treatment can effectively increase the temperature of the sample plot, making it overall higher than that of the control group. However, the temperature fluctuates significantly over time and does not remain stably at the target level, indicating that the actual thermal exposure varies among different pulses. This instability may lead to inconsistent treatment effects. At the same time, actual temperature and relative humidity also affect the outcome: higher temperatures usually correspond to lower yields and more severe fruit damage, while higher humidity may exacerbate this effect and provide conditions for fruit rot. This indicates that the influence of heat treatment not only depends on whether heating is carried out or not, but is also jointly affected by environmental conditions.</w:t>
      </w:r>
    </w:p>
    <w:p w14:paraId="0DAF5C04">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study still has certain limitations, including a small sample size, unstable temperature control, and environmental differences between plots. All these factors may affect the results. Against this backdrop, the results should mainly be understood as trend evidence. Despite the above uncertainties, the overall results still indicate that short-term high temperatures have a more significant impact on cranberry production, while the effect of long-term heating is relatively weak. Future research can, on the basis of expanding the sample size and combining more precise temperature and humidity observations, further explore the impact of different heat exposure conditions on yield and fruit quality, thereby providing more targeted management basis for dealing with extreme high temperatures in agricultural production.</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1982"/>
        <w:gridCol w:w="2697"/>
        <w:gridCol w:w="2981"/>
      </w:tblGrid>
      <w:tr w14:paraId="2BC078D1">
        <w:trPr>
          <w:trHeight w:val="349" w:hRule="atLeast"/>
        </w:trPr>
        <w:tc>
          <w:tcPr>
            <w:tcW w:w="1660" w:type="dxa"/>
            <w:tcBorders>
              <w:left w:val="nil"/>
              <w:bottom w:val="single" w:color="000000" w:sz="4" w:space="0"/>
              <w:right w:val="nil"/>
            </w:tcBorders>
            <w:vAlign w:val="top"/>
          </w:tcPr>
          <w:p w14:paraId="002EA087">
            <w:pPr>
              <w:jc w:val="center"/>
              <w:rPr>
                <w:rFonts w:hint="default" w:ascii="Times New Roman Regular" w:hAnsi="Times New Roman Regular" w:cs="Times New Roman Regular" w:eastAsiaTheme="minorEastAsia"/>
                <w:sz w:val="24"/>
                <w:szCs w:val="24"/>
                <w:vertAlign w:val="baseline"/>
                <w:lang w:eastAsia="zh-CN"/>
              </w:rPr>
            </w:pPr>
            <w:r>
              <w:rPr>
                <w:rFonts w:hint="default" w:ascii="Times New Roman Regular" w:hAnsi="Times New Roman Regular" w:cs="Times New Roman Regular" w:eastAsiaTheme="minorEastAsia"/>
                <w:sz w:val="24"/>
                <w:szCs w:val="24"/>
                <w:vertAlign w:val="baseline"/>
                <w:lang w:eastAsia="zh-CN"/>
              </w:rPr>
              <w:t>Contributions</w:t>
            </w:r>
          </w:p>
        </w:tc>
        <w:tc>
          <w:tcPr>
            <w:tcW w:w="1982" w:type="dxa"/>
            <w:tcBorders>
              <w:left w:val="nil"/>
              <w:bottom w:val="single" w:color="000000" w:sz="4" w:space="0"/>
              <w:right w:val="nil"/>
            </w:tcBorders>
            <w:vAlign w:val="top"/>
          </w:tcPr>
          <w:p w14:paraId="70BE8087">
            <w:pPr>
              <w:jc w:val="center"/>
              <w:rPr>
                <w:rFonts w:hint="default" w:ascii="Times New Roman Regular" w:hAnsi="Times New Roman Regular" w:cs="Times New Roman Regular" w:eastAsiaTheme="minorEastAsia"/>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fldChar w:fldCharType="begin"/>
            </w:r>
            <w:r>
              <w:rPr>
                <w:rFonts w:hint="default" w:ascii="Times New Roman Regular" w:hAnsi="Times New Roman Regular" w:cs="Times New Roman Regular"/>
                <w:sz w:val="24"/>
                <w:szCs w:val="24"/>
                <w:vertAlign w:val="baseline"/>
                <w:lang w:val="en-US" w:eastAsia="zh-CN"/>
              </w:rPr>
              <w:instrText xml:space="preserve"> HYPERLINK "https://canvas.wisc.edu/courses/501745/users/644515" </w:instrText>
            </w:r>
            <w:r>
              <w:rPr>
                <w:rFonts w:hint="default" w:ascii="Times New Roman Regular" w:hAnsi="Times New Roman Regular" w:cs="Times New Roman Regular"/>
                <w:sz w:val="24"/>
                <w:szCs w:val="24"/>
                <w:vertAlign w:val="baseline"/>
                <w:lang w:val="en-US" w:eastAsia="zh-CN"/>
              </w:rPr>
              <w:fldChar w:fldCharType="separate"/>
            </w:r>
            <w:r>
              <w:rPr>
                <w:rFonts w:hint="default" w:ascii="Times New Roman Regular" w:hAnsi="Times New Roman Regular" w:cs="Times New Roman Regular"/>
                <w:sz w:val="24"/>
                <w:szCs w:val="24"/>
                <w:vertAlign w:val="baseline"/>
                <w:lang w:val="en-US" w:eastAsia="zh-CN"/>
              </w:rPr>
              <w:t>Rachel Rapier</w:t>
            </w:r>
            <w:r>
              <w:rPr>
                <w:rFonts w:hint="default" w:ascii="Times New Roman Regular" w:hAnsi="Times New Roman Regular" w:cs="Times New Roman Regular"/>
                <w:sz w:val="24"/>
                <w:szCs w:val="24"/>
                <w:vertAlign w:val="baseline"/>
                <w:lang w:val="en-US" w:eastAsia="zh-CN"/>
              </w:rPr>
              <w:fldChar w:fldCharType="end"/>
            </w:r>
          </w:p>
        </w:tc>
        <w:tc>
          <w:tcPr>
            <w:tcW w:w="2697" w:type="dxa"/>
            <w:tcBorders>
              <w:left w:val="nil"/>
              <w:bottom w:val="single" w:color="000000" w:sz="4" w:space="0"/>
              <w:right w:val="nil"/>
            </w:tcBorders>
            <w:vAlign w:val="top"/>
          </w:tcPr>
          <w:p w14:paraId="4D7CFA86">
            <w:pPr>
              <w:jc w:val="center"/>
              <w:rPr>
                <w:rFonts w:hint="default" w:ascii="Times New Roman Regular" w:hAnsi="Times New Roman Regular" w:cs="Times New Roman Regular" w:eastAsiaTheme="minorEastAsia"/>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Menghan Yu</w:t>
            </w:r>
          </w:p>
        </w:tc>
        <w:tc>
          <w:tcPr>
            <w:tcW w:w="2981" w:type="dxa"/>
            <w:tcBorders>
              <w:left w:val="nil"/>
              <w:bottom w:val="single" w:color="000000" w:sz="4" w:space="0"/>
              <w:right w:val="nil"/>
            </w:tcBorders>
            <w:vAlign w:val="top"/>
          </w:tcPr>
          <w:p w14:paraId="6CAAB453">
            <w:pPr>
              <w:jc w:val="center"/>
              <w:rPr>
                <w:rFonts w:hint="default" w:ascii="Times New Roman Regular" w:hAnsi="Times New Roman Regular" w:cs="Times New Roman Regular"/>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Yangfan Xiao</w:t>
            </w:r>
          </w:p>
        </w:tc>
      </w:tr>
      <w:tr w14:paraId="60580D1F">
        <w:trPr>
          <w:trHeight w:val="1605" w:hRule="atLeast"/>
        </w:trPr>
        <w:tc>
          <w:tcPr>
            <w:tcW w:w="1660" w:type="dxa"/>
            <w:tcBorders>
              <w:top w:val="single" w:color="000000" w:sz="4" w:space="0"/>
              <w:left w:val="nil"/>
              <w:bottom w:val="nil"/>
              <w:right w:val="nil"/>
            </w:tcBorders>
            <w:vAlign w:val="center"/>
          </w:tcPr>
          <w:p w14:paraId="72D05B72">
            <w:pPr>
              <w:jc w:val="center"/>
              <w:rPr>
                <w:rFonts w:hint="default" w:ascii="Times New Roman Regular" w:hAnsi="Times New Roman Regular" w:cs="Times New Roman Regular" w:eastAsiaTheme="minorEastAsia"/>
                <w:sz w:val="24"/>
                <w:szCs w:val="24"/>
                <w:vertAlign w:val="baseline"/>
                <w:lang w:eastAsia="zh-CN"/>
              </w:rPr>
            </w:pPr>
            <w:r>
              <w:rPr>
                <w:rFonts w:hint="default" w:ascii="Times New Roman Regular" w:hAnsi="Times New Roman Regular" w:cs="Times New Roman Regular" w:eastAsiaTheme="minorEastAsia"/>
                <w:sz w:val="24"/>
                <w:szCs w:val="24"/>
                <w:vertAlign w:val="baseline"/>
                <w:lang w:eastAsia="zh-CN"/>
              </w:rPr>
              <w:t>Code &amp; analysis</w:t>
            </w:r>
          </w:p>
        </w:tc>
        <w:tc>
          <w:tcPr>
            <w:tcW w:w="1982" w:type="dxa"/>
            <w:tcBorders>
              <w:top w:val="single" w:color="000000" w:sz="4" w:space="0"/>
              <w:left w:val="nil"/>
              <w:bottom w:val="nil"/>
              <w:right w:val="nil"/>
            </w:tcBorders>
            <w:vAlign w:val="top"/>
          </w:tcPr>
          <w:p w14:paraId="40C6F8F4">
            <w:pPr>
              <w:jc w:val="left"/>
              <w:rPr>
                <w:rFonts w:hint="default" w:ascii="Times New Roman Regular" w:hAnsi="Times New Roman Regular" w:cs="Times New Roman Regular" w:eastAsiaTheme="minorEastAsia"/>
                <w:sz w:val="24"/>
                <w:szCs w:val="24"/>
                <w:vertAlign w:val="baseline"/>
                <w:lang w:val="en-US" w:eastAsia="zh-CN"/>
              </w:rPr>
            </w:pPr>
          </w:p>
        </w:tc>
        <w:tc>
          <w:tcPr>
            <w:tcW w:w="2697" w:type="dxa"/>
            <w:tcBorders>
              <w:top w:val="single" w:color="000000" w:sz="4" w:space="0"/>
              <w:left w:val="nil"/>
              <w:bottom w:val="nil"/>
              <w:right w:val="nil"/>
            </w:tcBorders>
          </w:tcPr>
          <w:p w14:paraId="09B43231">
            <w:pPr>
              <w:keepNext w:val="0"/>
              <w:keepLines w:val="0"/>
              <w:widowControl/>
              <w:suppressLineNumbers w:val="0"/>
              <w:jc w:val="left"/>
              <w:rPr>
                <w:rFonts w:hint="default" w:ascii="Times New Roman Regular" w:hAnsi="Times New Roman Regular" w:eastAsia="宋体" w:cs="Times New Roman Regular"/>
                <w:kern w:val="0"/>
                <w:sz w:val="22"/>
                <w:szCs w:val="22"/>
                <w:lang w:val="en-US" w:eastAsia="zh-CN" w:bidi="ar"/>
              </w:rPr>
            </w:pPr>
            <w:r>
              <w:rPr>
                <w:rFonts w:hint="default" w:ascii="Times New Roman Regular" w:hAnsi="Times New Roman Regular" w:eastAsia="宋体" w:cs="Times New Roman Regular"/>
                <w:kern w:val="0"/>
                <w:sz w:val="22"/>
                <w:szCs w:val="22"/>
                <w:lang w:val="en-US" w:eastAsia="zh-CN" w:bidi="ar"/>
              </w:rPr>
              <w:t>Conducted data analysis for gallic acid concentration and performed preprocessing of long-term temperature data.</w:t>
            </w:r>
          </w:p>
          <w:p w14:paraId="7AC44D7F">
            <w:pPr>
              <w:keepNext w:val="0"/>
              <w:keepLines w:val="0"/>
              <w:widowControl/>
              <w:suppressLineNumbers w:val="0"/>
              <w:jc w:val="left"/>
              <w:rPr>
                <w:rFonts w:hint="default" w:ascii="Times New Roman Regular" w:hAnsi="Times New Roman Regular" w:eastAsia="宋体" w:cs="Times New Roman Regular"/>
                <w:kern w:val="0"/>
                <w:sz w:val="22"/>
                <w:szCs w:val="22"/>
                <w:lang w:val="en-US" w:eastAsia="zh-CN" w:bidi="ar"/>
              </w:rPr>
            </w:pPr>
            <w:bookmarkStart w:id="0" w:name="_GoBack"/>
            <w:bookmarkEnd w:id="0"/>
          </w:p>
        </w:tc>
        <w:tc>
          <w:tcPr>
            <w:tcW w:w="2981" w:type="dxa"/>
            <w:tcBorders>
              <w:top w:val="single" w:color="000000" w:sz="4" w:space="0"/>
              <w:left w:val="nil"/>
              <w:bottom w:val="nil"/>
              <w:right w:val="nil"/>
            </w:tcBorders>
          </w:tcPr>
          <w:p w14:paraId="21677968">
            <w:pPr>
              <w:jc w:val="left"/>
              <w:rPr>
                <w:rFonts w:hint="default" w:ascii="Times New Roman Regular" w:hAnsi="Times New Roman Regular" w:cs="Times New Roman Regular" w:eastAsiaTheme="minorEastAsia"/>
                <w:sz w:val="24"/>
                <w:szCs w:val="24"/>
                <w:vertAlign w:val="baseline"/>
                <w:lang w:eastAsia="zh-CN"/>
              </w:rPr>
            </w:pPr>
          </w:p>
        </w:tc>
      </w:tr>
      <w:tr w14:paraId="027701C3">
        <w:trPr>
          <w:trHeight w:val="1431" w:hRule="atLeast"/>
        </w:trPr>
        <w:tc>
          <w:tcPr>
            <w:tcW w:w="1660" w:type="dxa"/>
            <w:tcBorders>
              <w:top w:val="nil"/>
              <w:left w:val="nil"/>
              <w:bottom w:val="nil"/>
              <w:right w:val="nil"/>
            </w:tcBorders>
            <w:vAlign w:val="center"/>
          </w:tcPr>
          <w:p w14:paraId="06F7BB77">
            <w:pPr>
              <w:jc w:val="center"/>
              <w:rPr>
                <w:rFonts w:hint="default" w:ascii="Times New Roman Regular" w:hAnsi="Times New Roman Regular" w:cs="Times New Roman Regular" w:eastAsiaTheme="minorEastAsia"/>
                <w:sz w:val="24"/>
                <w:szCs w:val="24"/>
                <w:vertAlign w:val="baseline"/>
                <w:lang w:eastAsia="zh-CN"/>
              </w:rPr>
            </w:pPr>
            <w:r>
              <w:rPr>
                <w:rFonts w:hint="default" w:ascii="Times New Roman Regular" w:hAnsi="Times New Roman Regular" w:cs="Times New Roman Regular" w:eastAsiaTheme="minorEastAsia"/>
                <w:sz w:val="24"/>
                <w:szCs w:val="24"/>
                <w:vertAlign w:val="baseline"/>
                <w:lang w:eastAsia="zh-CN"/>
              </w:rPr>
              <w:t>Summary</w:t>
            </w:r>
          </w:p>
          <w:p w14:paraId="33C58DC6">
            <w:pPr>
              <w:jc w:val="center"/>
              <w:rPr>
                <w:rFonts w:hint="default" w:ascii="Times New Roman Regular" w:hAnsi="Times New Roman Regular" w:cs="Times New Roman Regular" w:eastAsiaTheme="minorEastAsia"/>
                <w:sz w:val="24"/>
                <w:szCs w:val="24"/>
                <w:vertAlign w:val="baseline"/>
                <w:lang w:val="en-US" w:eastAsia="zh-CN"/>
              </w:rPr>
            </w:pPr>
            <w:r>
              <w:rPr>
                <w:rFonts w:hint="default" w:ascii="Times New Roman Regular" w:hAnsi="Times New Roman Regular" w:cs="Times New Roman Regular"/>
                <w:sz w:val="24"/>
                <w:szCs w:val="24"/>
                <w:vertAlign w:val="baseline"/>
                <w:lang w:val="en-US" w:eastAsia="zh-CN"/>
              </w:rPr>
              <w:t>&amp;</w:t>
            </w:r>
          </w:p>
          <w:p w14:paraId="6BF61E56">
            <w:pPr>
              <w:jc w:val="center"/>
              <w:rPr>
                <w:rFonts w:hint="default" w:ascii="Times New Roman Regular" w:hAnsi="Times New Roman Regular" w:cs="Times New Roman Regular" w:eastAsiaTheme="minorEastAsia"/>
                <w:sz w:val="24"/>
                <w:szCs w:val="24"/>
                <w:vertAlign w:val="baseline"/>
                <w:lang w:eastAsia="zh-CN"/>
              </w:rPr>
            </w:pPr>
            <w:r>
              <w:rPr>
                <w:rFonts w:hint="default" w:ascii="Times New Roman Regular" w:hAnsi="Times New Roman Regular" w:cs="Times New Roman Regular" w:eastAsiaTheme="minorEastAsia"/>
                <w:sz w:val="24"/>
                <w:szCs w:val="24"/>
                <w:vertAlign w:val="baseline"/>
                <w:lang w:eastAsia="zh-CN"/>
              </w:rPr>
              <w:t>report</w:t>
            </w:r>
            <w:r>
              <w:rPr>
                <w:rFonts w:hint="default" w:ascii="Times New Roman Regular" w:hAnsi="Times New Roman Regular" w:cs="Times New Roman Regular"/>
                <w:sz w:val="24"/>
                <w:szCs w:val="24"/>
                <w:vertAlign w:val="baseline"/>
                <w:lang w:val="en-US" w:eastAsia="zh-CN"/>
              </w:rPr>
              <w:t xml:space="preserve"> </w:t>
            </w:r>
            <w:r>
              <w:rPr>
                <w:rFonts w:hint="default" w:ascii="Times New Roman Regular" w:hAnsi="Times New Roman Regular" w:cs="Times New Roman Regular" w:eastAsiaTheme="minorEastAsia"/>
                <w:sz w:val="24"/>
                <w:szCs w:val="24"/>
                <w:vertAlign w:val="baseline"/>
                <w:lang w:eastAsia="zh-CN"/>
              </w:rPr>
              <w:t>write-up</w:t>
            </w:r>
          </w:p>
        </w:tc>
        <w:tc>
          <w:tcPr>
            <w:tcW w:w="1982" w:type="dxa"/>
            <w:tcBorders>
              <w:top w:val="nil"/>
              <w:left w:val="nil"/>
              <w:bottom w:val="nil"/>
              <w:right w:val="nil"/>
            </w:tcBorders>
          </w:tcPr>
          <w:p w14:paraId="6DC3721B">
            <w:pPr>
              <w:jc w:val="left"/>
              <w:rPr>
                <w:rFonts w:hint="default" w:ascii="Times New Roman Regular" w:hAnsi="Times New Roman Regular" w:cs="Times New Roman Regular" w:eastAsiaTheme="minorEastAsia"/>
                <w:sz w:val="24"/>
                <w:szCs w:val="24"/>
                <w:vertAlign w:val="baseline"/>
                <w:lang w:eastAsia="zh-CN"/>
              </w:rPr>
            </w:pPr>
          </w:p>
        </w:tc>
        <w:tc>
          <w:tcPr>
            <w:tcW w:w="2697" w:type="dxa"/>
            <w:tcBorders>
              <w:top w:val="nil"/>
              <w:left w:val="nil"/>
              <w:bottom w:val="nil"/>
              <w:right w:val="nil"/>
            </w:tcBorders>
          </w:tcPr>
          <w:p w14:paraId="4F57121C">
            <w:pPr>
              <w:jc w:val="left"/>
              <w:rPr>
                <w:rFonts w:hint="default" w:ascii="Times New Roman Regular" w:hAnsi="Times New Roman Regular" w:cs="Times New Roman Regular" w:eastAsiaTheme="minorEastAsia"/>
                <w:sz w:val="22"/>
                <w:szCs w:val="22"/>
                <w:vertAlign w:val="baseline"/>
                <w:lang w:val="en-US" w:eastAsia="zh-CN"/>
              </w:rPr>
            </w:pPr>
            <w:r>
              <w:rPr>
                <w:rFonts w:hint="default" w:ascii="Times New Roman Regular" w:hAnsi="Times New Roman Regular" w:cs="Times New Roman Regular" w:eastAsiaTheme="minorEastAsia"/>
                <w:sz w:val="22"/>
                <w:szCs w:val="22"/>
                <w:vertAlign w:val="baseline"/>
                <w:lang w:val="en-US" w:eastAsia="zh-CN"/>
              </w:rPr>
              <w:t>Wrote and refined the executive summary and contributed to the gallic acid section of the report.</w:t>
            </w:r>
          </w:p>
        </w:tc>
        <w:tc>
          <w:tcPr>
            <w:tcW w:w="2981" w:type="dxa"/>
            <w:tcBorders>
              <w:top w:val="nil"/>
              <w:left w:val="nil"/>
              <w:bottom w:val="nil"/>
              <w:right w:val="nil"/>
            </w:tcBorders>
          </w:tcPr>
          <w:p w14:paraId="4D9AE272">
            <w:pPr>
              <w:jc w:val="left"/>
              <w:rPr>
                <w:rFonts w:hint="default" w:ascii="Times New Roman Regular" w:hAnsi="Times New Roman Regular" w:cs="Times New Roman Regular" w:eastAsiaTheme="minorEastAsia"/>
                <w:sz w:val="24"/>
                <w:szCs w:val="24"/>
                <w:vertAlign w:val="baseline"/>
                <w:lang w:eastAsia="zh-CN"/>
              </w:rPr>
            </w:pPr>
          </w:p>
        </w:tc>
      </w:tr>
      <w:tr w14:paraId="5CFB7F6E">
        <w:tc>
          <w:tcPr>
            <w:tcW w:w="1660" w:type="dxa"/>
            <w:tcBorders>
              <w:top w:val="nil"/>
              <w:left w:val="nil"/>
              <w:bottom w:val="single" w:color="000000" w:sz="4" w:space="0"/>
              <w:right w:val="nil"/>
            </w:tcBorders>
            <w:vAlign w:val="center"/>
          </w:tcPr>
          <w:p w14:paraId="57890B73">
            <w:pPr>
              <w:jc w:val="center"/>
              <w:rPr>
                <w:rFonts w:hint="default" w:ascii="Times New Roman Regular" w:hAnsi="Times New Roman Regular" w:cs="Times New Roman Regular" w:eastAsiaTheme="minorEastAsia"/>
                <w:sz w:val="24"/>
                <w:szCs w:val="24"/>
                <w:vertAlign w:val="baseline"/>
                <w:lang w:eastAsia="zh-CN"/>
              </w:rPr>
            </w:pPr>
            <w:r>
              <w:rPr>
                <w:rFonts w:hint="default" w:ascii="Times New Roman Regular" w:hAnsi="Times New Roman Regular" w:cs="Times New Roman Regular" w:eastAsiaTheme="minorEastAsia"/>
                <w:sz w:val="24"/>
                <w:szCs w:val="24"/>
                <w:vertAlign w:val="baseline"/>
                <w:lang w:eastAsia="zh-CN"/>
              </w:rPr>
              <w:t>Presentation</w:t>
            </w:r>
          </w:p>
        </w:tc>
        <w:tc>
          <w:tcPr>
            <w:tcW w:w="1982" w:type="dxa"/>
            <w:tcBorders>
              <w:top w:val="nil"/>
              <w:left w:val="nil"/>
              <w:bottom w:val="single" w:color="000000" w:sz="4" w:space="0"/>
              <w:right w:val="nil"/>
            </w:tcBorders>
          </w:tcPr>
          <w:p w14:paraId="7AFD9BD6">
            <w:pPr>
              <w:jc w:val="left"/>
              <w:rPr>
                <w:rFonts w:hint="default" w:ascii="Times New Roman Regular" w:hAnsi="Times New Roman Regular" w:cs="Times New Roman Regular" w:eastAsiaTheme="minorEastAsia"/>
                <w:sz w:val="24"/>
                <w:szCs w:val="24"/>
                <w:vertAlign w:val="baseline"/>
                <w:lang w:eastAsia="zh-CN"/>
              </w:rPr>
            </w:pPr>
          </w:p>
        </w:tc>
        <w:tc>
          <w:tcPr>
            <w:tcW w:w="2697" w:type="dxa"/>
            <w:tcBorders>
              <w:top w:val="nil"/>
              <w:left w:val="nil"/>
              <w:bottom w:val="single" w:color="000000" w:sz="4" w:space="0"/>
              <w:right w:val="nil"/>
            </w:tcBorders>
          </w:tcPr>
          <w:p w14:paraId="77E6F977">
            <w:pPr>
              <w:pStyle w:val="2"/>
              <w:keepNext w:val="0"/>
              <w:keepLines w:val="0"/>
              <w:widowControl/>
              <w:suppressLineNumbers w:val="0"/>
              <w:jc w:val="left"/>
              <w:rPr>
                <w:rFonts w:hint="default" w:ascii="Times New Roman Regular" w:hAnsi="Times New Roman Regular" w:cs="Times New Roman Regular" w:eastAsiaTheme="minorEastAsia"/>
                <w:sz w:val="22"/>
                <w:szCs w:val="22"/>
                <w:vertAlign w:val="baseline"/>
                <w:lang w:eastAsia="zh-CN"/>
              </w:rPr>
            </w:pPr>
            <w:r>
              <w:rPr>
                <w:rFonts w:hint="default" w:ascii="Times New Roman Regular" w:hAnsi="Times New Roman Regular" w:cs="Times New Roman Regular"/>
                <w:sz w:val="22"/>
                <w:szCs w:val="22"/>
              </w:rPr>
              <w:t>Presented the temperature analysis and explained its relationship to yield outcomes.</w:t>
            </w:r>
          </w:p>
        </w:tc>
        <w:tc>
          <w:tcPr>
            <w:tcW w:w="2981" w:type="dxa"/>
            <w:tcBorders>
              <w:top w:val="nil"/>
              <w:left w:val="nil"/>
              <w:bottom w:val="single" w:color="000000" w:sz="4" w:space="0"/>
              <w:right w:val="nil"/>
            </w:tcBorders>
          </w:tcPr>
          <w:p w14:paraId="7E58220D">
            <w:pPr>
              <w:jc w:val="left"/>
              <w:rPr>
                <w:rFonts w:hint="default" w:ascii="Times New Roman Regular" w:hAnsi="Times New Roman Regular" w:cs="Times New Roman Regular"/>
                <w:sz w:val="24"/>
                <w:szCs w:val="24"/>
                <w:vertAlign w:val="baseline"/>
                <w:lang w:val="en-US" w:eastAsia="zh-CN"/>
              </w:rPr>
            </w:pPr>
          </w:p>
        </w:tc>
      </w:tr>
    </w:tbl>
    <w:p w14:paraId="00242D79">
      <w:pPr>
        <w:keepNext w:val="0"/>
        <w:keepLines w:val="0"/>
        <w:pageBreakBefore w:val="0"/>
        <w:widowControl w:val="0"/>
        <w:kinsoku/>
        <w:wordWrap/>
        <w:overflowPunct/>
        <w:topLinePunct w:val="0"/>
        <w:autoSpaceDE/>
        <w:autoSpaceDN/>
        <w:bidi w:val="0"/>
        <w:adjustRightInd/>
        <w:snapToGrid/>
        <w:spacing w:after="157" w:afterLines="50" w:line="240" w:lineRule="auto"/>
        <w:textAlignment w:val="auto"/>
        <w:rPr>
          <w:rFonts w:hint="default" w:ascii="Times New Roman Regular" w:hAnsi="Times New Roman Regular" w:cs="Times New Roman Regular"/>
          <w:sz w:val="22"/>
          <w:szCs w:val="22"/>
        </w:rPr>
      </w:pPr>
    </w:p>
    <w:sectPr>
      <w:pgSz w:w="11906" w:h="16838"/>
      <w:pgMar w:top="1270" w:right="1327" w:bottom="1270" w:left="132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Kaiti TC Regular">
    <w:panose1 w:val="02010600040101010101"/>
    <w:charset w:val="86"/>
    <w:family w:val="auto"/>
    <w:pitch w:val="default"/>
    <w:sig w:usb0="80000287" w:usb1="280F3C52"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BFF581C"/>
    <w:rsid w:val="18EF5F71"/>
    <w:rsid w:val="9BFF5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1</Lines>
  <Paragraphs>1</Paragraphs>
  <TotalTime>4</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2026-03-26T08:07:00Z</dcterms:created>
  <dc:creator>Oahiem</dc:creator>
  <cp:lastModifiedBy>Oahiem</cp:lastModifiedBy>
  <dcterms:modified xsi:type="dcterms:W3CDTF">2026-03-26T11:52:12Z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9B1964951C24841C8E2FC569F9C0C9CA_41</vt:lpwstr>
  </property>
</Properties>
</file>