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Support Playbook</w:t>
      </w:r>
    </w:p>
    <w:p>
      <w:pPr>
        <w:pStyle w:val="Heading2"/>
      </w:pPr>
      <w:r>
        <w:t>Escalation rules</w:t>
      </w:r>
    </w:p>
    <w:p>
      <w:r>
        <w:t>Escalate billing disputes over 500 USD to the Billing Manager queue. Escalate security reports immediately to the Security Incident queue.</w:t>
      </w:r>
    </w:p>
    <w:p>
      <w:pPr>
        <w:pStyle w:val="Heading2"/>
      </w:pPr>
      <w:r>
        <w:t>Response time targets</w:t>
      </w:r>
    </w:p>
    <w:p>
      <w:r>
        <w:t>Starter tickets should receive a first response within 2 business days. Pro tickets should receive a first response within 8 business hours. Business tickets should receive a first response within 2 business hours.</w:t>
      </w:r>
    </w:p>
    <w:p>
      <w:pPr>
        <w:pStyle w:val="Heading2"/>
      </w:pPr>
      <w:r>
        <w:t>Cancellation requests</w:t>
      </w:r>
    </w:p>
    <w:p>
      <w:r>
        <w:t>Before cancelling a workspace, confirm the requester is an Owner and provide an export link if the workspace has active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