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2"/>
          <w:szCs w:val="42"/>
          <w:highlight w:val="yellow"/>
        </w:rPr>
      </w:pPr>
      <w:r w:rsidDel="00000000" w:rsidR="00000000" w:rsidRPr="00000000">
        <w:rPr>
          <w:b w:val="1"/>
          <w:color w:val="ff0000"/>
          <w:sz w:val="42"/>
          <w:szCs w:val="42"/>
          <w:highlight w:val="yellow"/>
          <w:rtl w:val="0"/>
        </w:rPr>
        <w:t xml:space="preserve">Related file: XU_YUHAN_Assign_10_NB.py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4s0h8ybaa24y" w:id="0"/>
      <w:bookmarkEnd w:id="0"/>
      <w:r w:rsidDel="00000000" w:rsidR="00000000" w:rsidRPr="00000000">
        <w:rPr>
          <w:b w:val="1"/>
          <w:rtl w:val="0"/>
        </w:rPr>
        <w:t xml:space="preserve">Assignment 10 NB(Student-T)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d0nznyxkxt2n" w:id="1"/>
      <w:bookmarkEnd w:id="1"/>
      <w:r w:rsidDel="00000000" w:rsidR="00000000" w:rsidRPr="00000000">
        <w:rPr>
          <w:b w:val="1"/>
          <w:u w:val="single"/>
          <w:rtl w:val="0"/>
        </w:rPr>
        <w:t xml:space="preserve">1. implement a Student-t Naive Bayesian classifier (df = 0.5, 1, 5) and compute its accuracy for year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425"/>
        <w:gridCol w:w="6600"/>
        <w:tblGridChange w:id="0">
          <w:tblGrid>
            <w:gridCol w:w="990"/>
            <w:gridCol w:w="1425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57.69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3048000" cy="35242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57.69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867025" cy="37147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895600" cy="33337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u w:val="single"/>
        </w:rPr>
      </w:pPr>
      <w:bookmarkStart w:colFirst="0" w:colLast="0" w:name="_knnnq6j5rcl1" w:id="2"/>
      <w:bookmarkEnd w:id="2"/>
      <w:r w:rsidDel="00000000" w:rsidR="00000000" w:rsidRPr="00000000">
        <w:rPr>
          <w:b w:val="1"/>
          <w:u w:val="single"/>
          <w:rtl w:val="0"/>
        </w:rPr>
        <w:t xml:space="preserve">2. compute the confusion matrices for year 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Confusion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63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9271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9271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u w:val="single"/>
        </w:rPr>
      </w:pPr>
      <w:bookmarkStart w:colFirst="0" w:colLast="0" w:name="_os49c9759ocx" w:id="3"/>
      <w:bookmarkEnd w:id="3"/>
      <w:r w:rsidDel="00000000" w:rsidR="00000000" w:rsidRPr="00000000">
        <w:rPr>
          <w:b w:val="1"/>
          <w:u w:val="single"/>
          <w:rtl w:val="0"/>
        </w:rPr>
        <w:t xml:space="preserve">3. what is true positive rate and true negative rate for year 2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TPR and 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2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26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461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  <w:u w:val="single"/>
        </w:rPr>
      </w:pPr>
      <w:bookmarkStart w:colFirst="0" w:colLast="0" w:name="_ne5vpoe87ko6" w:id="4"/>
      <w:bookmarkEnd w:id="4"/>
      <w:r w:rsidDel="00000000" w:rsidR="00000000" w:rsidRPr="00000000">
        <w:rPr>
          <w:b w:val="1"/>
          <w:u w:val="single"/>
          <w:rtl w:val="0"/>
        </w:rPr>
        <w:t xml:space="preserve">4. what is the best value of df? Is it better than normal Naive bayesian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Best Value of df is 5, it is better than normal Naive Bayesian, because its accuracy is 61.54% which higher than the accuracy of normal one, which accuracy is 50%.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u w:val="single"/>
        </w:rPr>
      </w:pPr>
      <w:bookmarkStart w:colFirst="0" w:colLast="0" w:name="_g6gktbjeypz9" w:id="5"/>
      <w:bookmarkEnd w:id="5"/>
      <w:r w:rsidDel="00000000" w:rsidR="00000000" w:rsidRPr="00000000">
        <w:rPr>
          <w:b w:val="1"/>
          <w:u w:val="single"/>
          <w:rtl w:val="0"/>
        </w:rPr>
        <w:t xml:space="preserve">5. for the best value of df, implement a trading strategy based on your labels for year 2 and compare the performance with the ”buy-and-hold” strategy. Which strategy results in a larger amount at the end of the year?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actions.Buy when it falls compared to the previous day,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Compared to buy-and-hold, my strategy will results in a larger amount at the end of the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