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e2cxu7hq0ll1" w:id="0"/>
      <w:bookmarkEnd w:id="0"/>
      <w:r w:rsidDel="00000000" w:rsidR="00000000" w:rsidRPr="00000000">
        <w:rPr>
          <w:b w:val="1"/>
          <w:rtl w:val="0"/>
        </w:rPr>
        <w:t xml:space="preserve">Assignment 4 Bernford Law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w3t6ensxkujo" w:id="1"/>
      <w:bookmarkEnd w:id="1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1. Plot 3 histograms for the frequencies for real distribution, equal-weight and Bernford (for each digit)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2419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9550" cy="2486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419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lkrrrt5f024e" w:id="2"/>
      <w:bookmarkEnd w:id="2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2. plot 2 histograms for the relative errors for Models 1 and 2 (for each digit) </w:t>
      </w:r>
    </w:p>
    <w:p w:rsidR="00000000" w:rsidDel="00000000" w:rsidP="00000000" w:rsidRDefault="00000000" w:rsidRPr="00000000" w14:paraId="00000009">
      <w:pPr>
        <w:pStyle w:val="Heading3"/>
        <w:rPr>
          <w:u w:val="single"/>
        </w:rPr>
      </w:pPr>
      <w:bookmarkStart w:colFirst="0" w:colLast="0" w:name="_8r9mwtx4pv8x" w:id="3"/>
      <w:bookmarkEnd w:id="3"/>
      <w:r w:rsidDel="00000000" w:rsidR="00000000" w:rsidRPr="00000000">
        <w:rPr>
          <w:u w:val="single"/>
        </w:rPr>
        <w:drawing>
          <wp:inline distB="114300" distT="114300" distL="114300" distR="114300">
            <wp:extent cx="3867150" cy="2419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2419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i1923y1we8dk" w:id="4"/>
      <w:bookmarkEnd w:id="4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3. Compute RMSE (root mean squared error) for model 1 and 2. Which model is closer to the real distribution?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 for Model 1 = 0.08611697019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RMSE for Model 2 = 0.02299826213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RMSE for Model 2 is smaller than RMSE for Model 1, Model 2 is closer to the real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u w:val="single"/>
        </w:rPr>
      </w:pPr>
      <w:bookmarkStart w:colFirst="0" w:colLast="0" w:name="_4ia4opbluy8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fitz1rqclnia" w:id="6"/>
      <w:bookmarkEnd w:id="6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4. Take 3 categories of your choice For each of these categories do the following: (a) compute F, P and π. (b) using RMSE as a ”distance” metric, for which of these chosen three countries is the distribution ”closest” to equal weight P?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y0vvp44vpreq" w:id="7"/>
      <w:bookmarkEnd w:id="7"/>
      <w:r w:rsidDel="00000000" w:rsidR="00000000" w:rsidRPr="00000000">
        <w:rPr>
          <w:rtl w:val="0"/>
        </w:rPr>
        <w:t xml:space="preserve">Jewellery-Women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24.74%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18.90%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16.72%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10.31%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7.75%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4.12%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3.85%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4.51%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𝝿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30.10%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17.60%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12.50%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9.70%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7.90%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6.70%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5.80%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4.60%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RMSE for Model 1:  0.07227688273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RMSE for Model 2: 0.02521771864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Lingerie&amp;Nightwear-Women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16.10%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9.51%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8.82%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10.07%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8.35%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5.33%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2.60%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5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</w:tbl>
    <w:p w:rsidR="00000000" w:rsidDel="00000000" w:rsidP="00000000" w:rsidRDefault="00000000" w:rsidRPr="00000000" w14:paraId="00000054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𝝿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30.10%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17.60%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12.50%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9.70%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7.90%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6.70%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5.80%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4.60%</w:t>
            </w:r>
          </w:p>
        </w:tc>
      </w:tr>
    </w:tbl>
    <w:p w:rsidR="00000000" w:rsidDel="00000000" w:rsidP="00000000" w:rsidRDefault="00000000" w:rsidRPr="00000000" w14:paraId="0000005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RMSE for Model 1:  0.06130237443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RMSE for Model 2: 0.02570901269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Watches-Women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26.30%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10.47%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9.58%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7.86%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8.58%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6.57%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4.35%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4.57%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5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11.11%</w:t>
            </w:r>
          </w:p>
        </w:tc>
      </w:tr>
    </w:tbl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𝝿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30.10%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17.60%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12.50%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9.70%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7.90%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6.70%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5.80%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5.10%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4.60%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RMSE for Model 1:  0.06692373769</w:t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rtl w:val="0"/>
        </w:rPr>
        <w:t xml:space="preserve">RMSE for Model 2: 0.01608301381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twn9hthrhfk8" w:id="8"/>
      <w:bookmarkEnd w:id="8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5. Discuss your findings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Compared to Model 1, model 2 which is from the Bernnford law is much closer to the real distribution.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