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DC7F72">
      <w:pPr>
        <w:spacing w:line="480" w:lineRule="auto"/>
        <w:jc w:val="center"/>
        <w:rPr>
          <w:rFonts w:ascii="Times New Roman" w:hAnsi="Times New Roman" w:eastAsia="黑体" w:cs="Times New Roman"/>
          <w:b/>
          <w:bCs/>
          <w:sz w:val="32"/>
          <w:szCs w:val="32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sz w:val="32"/>
          <w:szCs w:val="32"/>
          <w14:ligatures w14:val="none"/>
        </w:rPr>
        <w:t>对</w:t>
      </w:r>
      <w:r>
        <w:rPr>
          <w:rFonts w:ascii="Times New Roman" w:hAnsi="Times New Roman" w:eastAsia="黑体" w:cs="Times New Roman"/>
          <w:b/>
          <w:bCs/>
          <w:i/>
          <w:iCs/>
          <w:sz w:val="32"/>
          <w:szCs w:val="32"/>
          <w14:ligatures w14:val="none"/>
        </w:rPr>
        <w:fldChar w:fldCharType="begin"/>
      </w:r>
      <w:r>
        <w:rPr>
          <w:rFonts w:ascii="Times New Roman" w:hAnsi="Times New Roman" w:eastAsia="黑体" w:cs="Times New Roman"/>
          <w:b/>
          <w:bCs/>
          <w:i/>
          <w:iCs/>
          <w:sz w:val="32"/>
          <w:szCs w:val="32"/>
          <w14:ligatures w14:val="none"/>
        </w:rPr>
        <w:instrText xml:space="preserve"> ADDIN EN.CITE &lt;EndNote&gt;&lt;Cite AuthorYear="1"&gt;&lt;Author&gt;Lin&lt;/Author&gt;&lt;Year&gt;2020&lt;/Year&gt;&lt;RecNum&gt;7&lt;/RecNum&gt;&lt;DisplayText&gt;Lin, Saunders, Friese, Evans, and Inzlicht (2020)&lt;/DisplayText&gt;&lt;record&gt;&lt;rec-number&gt;7&lt;/rec-number&gt;&lt;foreign-keys&gt;&lt;key app="EN" db-id="9ttvv0fxx522v6e2d0o5pew3fv9r2d9x5dpz" timestamp="1781424352"&gt;7&lt;/key&gt;&lt;/foreign-keys&gt;&lt;ref-type name="Journal Article"&gt;17&lt;/ref-type&gt;&lt;contributors&gt;&lt;authors&gt;&lt;author&gt;Lin,  Hause&lt;/author&gt;&lt;author&gt;Saunders,  Blair&lt;/author&gt;&lt;author&gt;Friese,  Malte&lt;/author&gt;&lt;author&gt;Evans,  Nathan J.&lt;/author&gt;&lt;author&gt;Inzlicht,  Michael&lt;/author&gt;&lt;/authors&gt;&lt;/contributors&gt;&lt;titles&gt;&lt;title&gt;Strong Effort Manipulations Reduce Response Caution: A Preregistered Reinvention of the Ego-Depletion Paradigm&lt;/title&gt;&lt;secondary-title&gt;Psychological Science&lt;/secondary-title&gt;&lt;/titles&gt;&lt;periodical&gt;&lt;full-title&gt;Psychological Science&lt;/full-title&gt;&lt;/periodical&gt;&lt;pages&gt;531-547&lt;/pages&gt;&lt;volume&gt;31&lt;/volume&gt;&lt;number&gt;5&lt;/number&gt;&lt;dates&gt;&lt;year&gt;2020&lt;/year&gt;&lt;pub-dates&gt;&lt;date&gt;2020/05/01&lt;/date&gt;&lt;/pub-dates&gt;&lt;/dates&gt;&lt;publisher&gt;SAGE Publications Inc&lt;/publisher&gt;&lt;isbn&gt;0956-7976&lt;/isbn&gt;&lt;urls&gt;&lt;related-urls&gt;&lt;url&gt;https://doi.org/10.1177/0956797620904990&lt;/url&gt;&lt;/related-urls&gt;&lt;/urls&gt;&lt;electronic-resource-num&gt;10.1177/0956797620904990&lt;/electronic-resource-num&gt;&lt;access-date&gt;2026/06/14&lt;/access-date&gt;&lt;/record&gt;&lt;/Cite&gt;&lt;/EndNote&gt;</w:instrText>
      </w:r>
      <w:r>
        <w:rPr>
          <w:rFonts w:ascii="Times New Roman" w:hAnsi="Times New Roman" w:eastAsia="黑体" w:cs="Times New Roman"/>
          <w:b/>
          <w:bCs/>
          <w:i/>
          <w:iCs/>
          <w:sz w:val="32"/>
          <w:szCs w:val="32"/>
          <w14:ligatures w14:val="none"/>
        </w:rPr>
        <w:fldChar w:fldCharType="separate"/>
      </w:r>
      <w:r>
        <w:rPr>
          <w:rFonts w:ascii="Times New Roman" w:hAnsi="Times New Roman" w:eastAsia="黑体" w:cs="Times New Roman"/>
          <w:b/>
          <w:bCs/>
          <w:i/>
          <w:iCs/>
          <w:sz w:val="32"/>
          <w:szCs w:val="32"/>
          <w14:ligatures w14:val="none"/>
        </w:rPr>
        <w:t>Lin, Saunders, Friese, Evans, and Inzlicht (2020)</w:t>
      </w:r>
      <w:r>
        <w:rPr>
          <w:rFonts w:ascii="Times New Roman" w:hAnsi="Times New Roman" w:eastAsia="黑体" w:cs="Times New Roman"/>
          <w:b/>
          <w:bCs/>
          <w:i/>
          <w:iCs/>
          <w:sz w:val="32"/>
          <w:szCs w:val="32"/>
          <w14:ligatures w14:val="none"/>
        </w:rPr>
        <w:fldChar w:fldCharType="end"/>
      </w:r>
      <w:r>
        <w:rPr>
          <w:rFonts w:hint="eastAsia" w:ascii="Times New Roman" w:hAnsi="Times New Roman" w:eastAsia="黑体" w:cs="Times New Roman"/>
          <w:b/>
          <w:bCs/>
          <w:sz w:val="32"/>
          <w:szCs w:val="32"/>
          <w14:ligatures w14:val="none"/>
        </w:rPr>
        <w:t>研究结果的计算可复现性检验</w:t>
      </w:r>
    </w:p>
    <w:p w14:paraId="35DC7F87">
      <w:pPr>
        <w:spacing w:line="300" w:lineRule="auto"/>
        <w:ind w:firstLine="360"/>
        <w:rPr>
          <w:rFonts w:ascii="Times New Roman" w:hAnsi="Times New Roman" w:eastAsia="宋体" w:cs="Times New Roman"/>
          <w:sz w:val="18"/>
          <w:szCs w:val="18"/>
          <w14:ligatures w14:val="none"/>
        </w:rPr>
      </w:pPr>
    </w:p>
    <w:p w14:paraId="2430BB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eastAsia" w:ascii="Times New Roman" w:hAnsi="Times New Roman" w:eastAsia="宋体" w:cs="Times New Roman"/>
          <w:szCs w:val="21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1"/>
          <w14:ligatures w14:val="none"/>
        </w:rPr>
        <w:t>摘要</w:t>
      </w:r>
      <w:r>
        <w:rPr>
          <w:rFonts w:hint="eastAsia" w:ascii="Times New Roman" w:hAnsi="Times New Roman" w:eastAsia="宋体" w:cs="Times New Roman"/>
          <w:szCs w:val="21"/>
          <w14:ligatures w14:val="none"/>
        </w:rPr>
        <w:t>：</w:t>
      </w:r>
      <w:r>
        <w:rPr>
          <w:rFonts w:hint="eastAsia" w:ascii="Times New Roman" w:hAnsi="Times New Roman" w:eastAsia="宋体" w:cs="Times New Roman"/>
          <w:szCs w:val="21"/>
          <w:lang w:val="en-US" w:eastAsia="zh-CN"/>
          <w14:ligatures w14:val="none"/>
        </w:rPr>
        <w:t>本报告采用贝叶斯多层模型，对自我损耗效应开展复现分析，探究其对 Stroop 任务行为表现、扩散模型参数及主观感受评分的影响。研究使用 brms 包、效应编码预测变量，对实验4原始数据进行建模分析；先验分布基于已发表文献的标准化效应量设定。分析结果包含五项主观情绪评分的贝叶斯操纵检验、Stroop 任务反应时与正确率上「损耗操纵 × 刺激一致性」交互作用，以及扩散漂移模型（DDM）中决策边界 (a)、信息漂移速率 (v) 两组参数的组间对比；所有效应均通过萨维奇 - 迪基密度比法计算并报告贝叶斯因子。</w:t>
      </w:r>
    </w:p>
    <w:p w14:paraId="35DC7F88">
      <w:pPr>
        <w:spacing w:line="300" w:lineRule="auto"/>
        <w:rPr>
          <w:rFonts w:ascii="Times New Roman" w:hAnsi="Times New Roman" w:eastAsia="宋体" w:cs="Times New Roman"/>
          <w:szCs w:val="21"/>
          <w14:ligatures w14:val="none"/>
        </w:rPr>
      </w:pPr>
    </w:p>
    <w:p w14:paraId="35DC7F8A">
      <w:pPr>
        <w:spacing w:line="300" w:lineRule="auto"/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1"/>
          <w14:ligatures w14:val="none"/>
        </w:rPr>
        <w:t>关键词</w:t>
      </w:r>
      <w:r>
        <w:rPr>
          <w:rFonts w:hint="eastAsia" w:ascii="Times New Roman" w:hAnsi="Times New Roman" w:eastAsia="宋体" w:cs="Times New Roman"/>
          <w:szCs w:val="21"/>
          <w14:ligatures w14:val="none"/>
        </w:rPr>
        <w:t>：</w:t>
      </w:r>
      <w:r>
        <w:rPr>
          <w:rFonts w:hint="eastAsia" w:ascii="Times New Roman" w:hAnsi="Times New Roman" w:eastAsia="宋体" w:cs="Times New Roman"/>
          <w:szCs w:val="21"/>
          <w:lang w:val="en-US" w:eastAsia="zh-CN"/>
          <w14:ligatures w14:val="none"/>
        </w:rPr>
        <w:t>自我损耗、</w:t>
      </w:r>
      <w:r>
        <w:rPr>
          <w:rFonts w:hint="eastAsia" w:ascii="Times New Roman" w:hAnsi="Times New Roman" w:eastAsia="宋体" w:cs="Times New Roman"/>
          <w:szCs w:val="21"/>
          <w14:ligatures w14:val="none"/>
        </w:rPr>
        <w:t>贝叶斯分层模型</w:t>
      </w:r>
      <w:r>
        <w:rPr>
          <w:rFonts w:hint="eastAsia" w:ascii="Times New Roman" w:hAnsi="Times New Roman" w:eastAsia="宋体" w:cs="Times New Roman"/>
          <w:szCs w:val="21"/>
          <w:lang w:eastAsia="zh-CN"/>
          <w14:ligatures w14:val="none"/>
        </w:rPr>
        <w:t>、</w:t>
      </w:r>
      <w:r>
        <w:rPr>
          <w:rFonts w:hint="eastAsia" w:ascii="Times New Roman" w:hAnsi="Times New Roman" w:eastAsia="宋体" w:cs="Times New Roman"/>
          <w:szCs w:val="21"/>
          <w14:ligatures w14:val="none"/>
        </w:rPr>
        <w:t>计算可复现性</w:t>
      </w:r>
    </w:p>
    <w:p w14:paraId="35DC7F8B">
      <w:pPr>
        <w:spacing w:line="300" w:lineRule="auto"/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  <w:t>1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14:ligatures w14:val="none"/>
        </w:rPr>
        <w:t xml:space="preserve"> 引言</w:t>
      </w:r>
    </w:p>
    <w:p w14:paraId="35DC7F8C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1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.1 所选文献信息</w:t>
      </w:r>
    </w:p>
    <w:p w14:paraId="35DC7F8D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表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1</w:t>
      </w:r>
      <w:r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</w:t>
      </w: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文献信息表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35DC7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35DC7F8E"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1 文献基本信息</w:t>
            </w:r>
          </w:p>
        </w:tc>
      </w:tr>
      <w:tr w14:paraId="35DC7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90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所选文献</w:t>
            </w:r>
          </w:p>
        </w:tc>
        <w:tc>
          <w:tcPr>
            <w:tcW w:w="6222" w:type="dxa"/>
            <w:gridSpan w:val="3"/>
          </w:tcPr>
          <w:p w14:paraId="35DC7F91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5"/>
                <w:szCs w:val="15"/>
              </w:rPr>
              <w:t>Lin, H., Saunders, B., Friese, M., Evans, N. J., &amp; Inzlicht, M. (2020). Strong Effort Manipulations Reduce Response Caution: A Preregistered Reinvention of the Ego-Depletion Paradigm.</w:t>
            </w:r>
            <w:r>
              <w:rPr>
                <w:rFonts w:ascii="Times New Roman" w:hAnsi="Times New Roman" w:eastAsia="宋体" w:cs="Times New Roman"/>
                <w:sz w:val="15"/>
                <w:szCs w:val="15"/>
              </w:rPr>
              <w:t> </w:t>
            </w:r>
            <w:r>
              <w:rPr>
                <w:rFonts w:ascii="Times New Roman" w:hAnsi="Times New Roman" w:eastAsia="宋体" w:cs="Times New Roman"/>
                <w:i/>
                <w:iCs/>
                <w:sz w:val="15"/>
                <w:szCs w:val="15"/>
              </w:rPr>
              <w:t>Psychological science, 31(5), 531–547.</w:t>
            </w:r>
            <w:r>
              <w:rPr>
                <w:rFonts w:ascii="Times New Roman" w:hAnsi="Times New Roman" w:eastAsia="宋体" w:cs="Times New Roman"/>
                <w:sz w:val="15"/>
                <w:szCs w:val="15"/>
              </w:rPr>
              <w:t xml:space="preserve"> https://doi.org/10.1177/0956797620904990</w:t>
            </w:r>
          </w:p>
        </w:tc>
      </w:tr>
      <w:tr w14:paraId="35DC7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93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数据来源</w:t>
            </w:r>
          </w:p>
        </w:tc>
        <w:tc>
          <w:tcPr>
            <w:tcW w:w="6222" w:type="dxa"/>
            <w:gridSpan w:val="3"/>
          </w:tcPr>
          <w:p w14:paraId="35DC7F94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fldChar w:fldCharType="begin"/>
            </w:r>
            <w:r>
              <w:instrText xml:space="preserve"> HYPERLINK "https://github.com/hauselin/depletion_bayes" </w:instrText>
            </w:r>
            <w:r>
              <w:fldChar w:fldCharType="separate"/>
            </w:r>
            <w:r>
              <w:rPr>
                <w:rFonts w:hint="eastAsia" w:ascii="Times New Roman" w:hAnsi="Times New Roman" w:eastAsia="宋体" w:cs="Times New Roman"/>
                <w:sz w:val="15"/>
                <w:szCs w:val="15"/>
              </w:rPr>
              <w:t>hauselin/depletion_bayes: Repository for paper (Strong effort manipulations reduce response caution)</w:t>
            </w:r>
            <w:r>
              <w:rPr>
                <w:rFonts w:hint="eastAsia" w:ascii="Times New Roman" w:hAnsi="Times New Roman" w:eastAsia="宋体" w:cs="Times New Roman"/>
                <w:sz w:val="15"/>
                <w:szCs w:val="15"/>
              </w:rPr>
              <w:fldChar w:fldCharType="end"/>
            </w:r>
          </w:p>
        </w:tc>
      </w:tr>
      <w:tr w14:paraId="35DC7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35DC7F96"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  <w:t>2 文献选取</w:t>
            </w:r>
          </w:p>
        </w:tc>
      </w:tr>
      <w:tr w14:paraId="35DC7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98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文献主题是否包含不止一篇研究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？</w:t>
            </w:r>
          </w:p>
        </w:tc>
        <w:tc>
          <w:tcPr>
            <w:tcW w:w="2074" w:type="dxa"/>
          </w:tcPr>
          <w:p w14:paraId="35DC7F9A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是，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但</w:t>
            </w: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不包含元分析研究</w:t>
            </w:r>
          </w:p>
          <w:p w14:paraId="35DC7F9B">
            <w:pPr>
              <w:pStyle w:val="10"/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13"/>
                <w:szCs w:val="13"/>
              </w:rPr>
            </w:pPr>
          </w:p>
        </w:tc>
        <w:tc>
          <w:tcPr>
            <w:tcW w:w="2074" w:type="dxa"/>
          </w:tcPr>
          <w:p w14:paraId="35DC7F9C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文献此前被其他研究者重复过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？</w:t>
            </w:r>
          </w:p>
        </w:tc>
        <w:tc>
          <w:tcPr>
            <w:tcW w:w="2074" w:type="dxa"/>
          </w:tcPr>
          <w:p w14:paraId="35DC7F9D">
            <w:pPr>
              <w:spacing w:line="360" w:lineRule="auto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否</w:t>
            </w:r>
          </w:p>
          <w:p w14:paraId="35DC7F9E">
            <w:pPr>
              <w:pStyle w:val="10"/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13"/>
                <w:szCs w:val="13"/>
              </w:rPr>
            </w:pPr>
          </w:p>
        </w:tc>
      </w:tr>
      <w:tr w14:paraId="35DC7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35DC7FA0"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3 研究假设选取</w:t>
            </w:r>
          </w:p>
        </w:tc>
      </w:tr>
      <w:tr w14:paraId="35DC7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A2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重复的研究假设</w:t>
            </w:r>
          </w:p>
        </w:tc>
        <w:tc>
          <w:tcPr>
            <w:tcW w:w="6222" w:type="dxa"/>
            <w:gridSpan w:val="3"/>
          </w:tcPr>
          <w:p w14:paraId="39A1BB37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用study4的数据复现了以下假设</w:t>
            </w:r>
          </w:p>
          <w:p w14:paraId="07946CCA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操纵有效性假设：高认知负荷任务下被试主观疲惫、主观努力评分显著高于低负荷组；</w:t>
            </w:r>
          </w:p>
          <w:p w14:paraId="06175836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Stroop 行为任务假设：①不一致试次存在显著 Stroop 冲突效应；②高负荷主效应会加快反应速度，正确率无显著变化；③负荷与词色一致性无交互作用；</w:t>
            </w:r>
          </w:p>
          <w:p w14:paraId="35DC7FA3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DDM 扩散模型核心假设：①高负荷组决策边界 a 显著降低；②高低负荷组漂移速度 v 无显著差异。</w:t>
            </w:r>
          </w:p>
        </w:tc>
      </w:tr>
      <w:tr w14:paraId="35DC7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A5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重复的研究假设是否在其他研究中经过重复？</w:t>
            </w:r>
          </w:p>
        </w:tc>
        <w:tc>
          <w:tcPr>
            <w:tcW w:w="2074" w:type="dxa"/>
          </w:tcPr>
          <w:p w14:paraId="35DC7FA7">
            <w:pPr>
              <w:pStyle w:val="10"/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ascii="Times New Roman" w:hAnsi="Times New Roman" w:eastAsia="宋体" w:cs="Times New Roman"/>
                <w:sz w:val="18"/>
                <w:szCs w:val="18"/>
              </w:rPr>
              <w:t>是</w:t>
            </w:r>
          </w:p>
        </w:tc>
        <w:tc>
          <w:tcPr>
            <w:tcW w:w="2074" w:type="dxa"/>
          </w:tcPr>
          <w:p w14:paraId="35DC7FA8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文献共几个实验，重复的研究假设是第几个实验中的？</w:t>
            </w:r>
          </w:p>
        </w:tc>
        <w:tc>
          <w:tcPr>
            <w:tcW w:w="2074" w:type="dxa"/>
          </w:tcPr>
          <w:p w14:paraId="35DC7FA9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共4个，重复的是第四个</w:t>
            </w:r>
          </w:p>
        </w:tc>
      </w:tr>
      <w:tr w14:paraId="35DC7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AB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选择该假设的原因</w:t>
            </w:r>
          </w:p>
        </w:tc>
        <w:tc>
          <w:tcPr>
            <w:tcW w:w="6222" w:type="dxa"/>
            <w:gridSpan w:val="3"/>
          </w:tcPr>
          <w:p w14:paraId="35DC7FAC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Study 1首先利用新的高认知负荷操纵探索认知努力后的行为变化，并发现反应边界可能下降；Study 2在独立样本中对该发现进行预注册验证；Study 3进一步在MTurk成年样本中检验其跨样本稳定性；Study 4再次进行确认性检验。因此study4的实验流程更加完善，结果可复现性更高。</w:t>
            </w:r>
          </w:p>
        </w:tc>
      </w:tr>
      <w:tr w14:paraId="35DC7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4"/>
          </w:tcPr>
          <w:p w14:paraId="35DC7FAE">
            <w:pPr>
              <w:spacing w:line="360" w:lineRule="auto"/>
              <w:rPr>
                <w:rFonts w:ascii="Times New Roman" w:hAnsi="Times New Roman" w:eastAsia="宋体" w:cs="Times New Roman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sz w:val="18"/>
                <w:szCs w:val="18"/>
              </w:rPr>
              <w:t>4 数据集选取</w:t>
            </w:r>
          </w:p>
        </w:tc>
      </w:tr>
      <w:tr w14:paraId="35DC7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35DC7FB0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是否采用原始数据？</w:t>
            </w:r>
          </w:p>
        </w:tc>
        <w:tc>
          <w:tcPr>
            <w:tcW w:w="2074" w:type="dxa"/>
          </w:tcPr>
          <w:p w14:paraId="35DC7FB1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</w:t>
            </w:r>
          </w:p>
          <w:p w14:paraId="35DC7FB2">
            <w:pPr>
              <w:pStyle w:val="10"/>
              <w:spacing w:line="360" w:lineRule="auto"/>
              <w:ind w:firstLine="0" w:firstLineChars="0"/>
              <w:jc w:val="left"/>
              <w:rPr>
                <w:rFonts w:ascii="Times New Roman" w:hAnsi="Times New Roman" w:eastAsia="宋体" w:cs="Times New Roman"/>
                <w:sz w:val="13"/>
                <w:szCs w:val="13"/>
              </w:rPr>
            </w:pPr>
          </w:p>
        </w:tc>
        <w:tc>
          <w:tcPr>
            <w:tcW w:w="2074" w:type="dxa"/>
          </w:tcPr>
          <w:p w14:paraId="35DC7FB3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是否对样本量进行修改？</w:t>
            </w:r>
          </w:p>
        </w:tc>
        <w:tc>
          <w:tcPr>
            <w:tcW w:w="2074" w:type="dxa"/>
          </w:tcPr>
          <w:p w14:paraId="35DC7FB5">
            <w:pPr>
              <w:spacing w:line="360" w:lineRule="auto"/>
              <w:rPr>
                <w:rFonts w:ascii="Times New Roman" w:hAnsi="Times New Roman" w:eastAsia="宋体" w:cs="Times New Roman"/>
                <w:sz w:val="13"/>
                <w:szCs w:val="13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</w:rPr>
              <w:t>否</w:t>
            </w:r>
          </w:p>
        </w:tc>
      </w:tr>
    </w:tbl>
    <w:p w14:paraId="35DC7FBC">
      <w:pPr>
        <w:spacing w:line="300" w:lineRule="auto"/>
        <w:ind w:firstLine="422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</w:p>
    <w:p w14:paraId="35DC7FBD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1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.2 文献介绍</w:t>
      </w:r>
    </w:p>
    <w:p w14:paraId="35DC7FBE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1.2.1背景</w:t>
      </w:r>
    </w:p>
    <w:p w14:paraId="313B48B6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自我损耗理论认为，个体进行高消耗的自控行为会透支有限的心理资源，进而造成后续自我控制能力下降，该理论一度得到多项早期实验的支撑。但近年来，大量大样本预注册实验、元分析及重复验证研究均难以复现经典自我损耗效应，学界开始对传统实验范式的有效性、统计检验力提出质疑，自我损耗是否真实存在成为领域内争议焦点。</w:t>
      </w:r>
    </w:p>
    <w:p w14:paraId="35ABD104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以往相关研究多采用被试间序列任务范式，仅依靠反应时、正确率等外在行为指标开展分析，无法深入解析心理努力影响认知表现的内在机制；同时，实验室范式与现实场景中的疲劳体验存在脱节，也限制了理论的推进。为突破现有局限，本研究结合认知建模技术优化实验设计，构建全新的实验范式，尝试重新探究高强度心理努力所引发的损耗效应，厘清自我损耗背后的认知加工机制。</w:t>
      </w:r>
    </w:p>
    <w:p w14:paraId="58751C8D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1.2.2 研究假设</w:t>
      </w:r>
    </w:p>
    <w:p w14:paraId="045C127E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操纵有效性假设：相较于低认知负荷任务，高负荷任务能够有效诱发被试更高的主观心理负荷、努力感、挫败感、无聊感与身心疲惫感。</w:t>
      </w:r>
    </w:p>
    <w:p w14:paraId="28C0D239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核心认知参数假设：完成高负荷任务后，被试在后续 Stroop 冲突任务中，漂移扩散模型的两个核心潜变量将发生改变：一是决策边界显著降低，个体反应谨慎性下降；二是漂移率显著降低，个体信息加工速度变慢。</w:t>
      </w:r>
    </w:p>
    <w:p w14:paraId="061BF586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关联性假设：被试主观感知到的疲惫、挫败与无聊程度，与决策边界、漂移率呈负相关；Stroop 不一致试次的决策边界与漂移率低于一致试次。</w:t>
      </w:r>
    </w:p>
    <w:p w14:paraId="4760AB83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1.2.3 研究结果</w:t>
      </w:r>
    </w:p>
    <w:p w14:paraId="16B8094D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第一，实验操纵具备有效性。四项实验结果一致显示，高负荷任务组被试的主观心理负荷、努力程度、疲惫感、挫败感与无聊感评分，均显著高于低负荷组，证明本研究的任务范式可稳定诱发心理努力与疲劳体验。</w:t>
      </w:r>
    </w:p>
    <w:p w14:paraId="2AD690A2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第二，决策边界指标出现显著变化。经历高强度心理努力后，被试的决策边界明显降低，反应谨慎性下降；且被试主观努力感、疲惫感越强，决策边界越低，该结果得到贝叶斯分析的强力支撑。</w:t>
      </w:r>
    </w:p>
    <w:p w14:paraId="1183F009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第三，漂移率指标未出现显著差异。高、低负荷两组被试的漂移率无统计学差异，表明高强度心理努力并不会损害个体基础信息加工速度，该结果未验证对应研究假设。</w:t>
      </w:r>
    </w:p>
    <w:p w14:paraId="507C3EAE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第四，传统行为指标效应微弱。高负荷条件下被试 Stroop 任务正确率小幅降低、反应时略有缩短，但整体效应量较小；同时，任务操纵未对 Stroop 任务的冲突效应产生影响，说明心理努力并未特异性损伤个体的抑制控制能力。</w:t>
      </w:r>
    </w:p>
    <w:p w14:paraId="5A12ECA0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第五，拓展模型验证结论。针对冲突任务设计的进阶扩散模型分析结果与 EZ 漂移扩散模型保持一致，进一步证实心理努力仅改变个体的反应谨慎性，不会干扰受控加工与自动化加工过程。</w:t>
      </w:r>
    </w:p>
    <w:p w14:paraId="35DC7FBF">
      <w:pPr>
        <w:spacing w:line="300" w:lineRule="auto"/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  <w:t xml:space="preserve">2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14:ligatures w14:val="none"/>
        </w:rPr>
        <w:t>方法</w:t>
      </w:r>
    </w:p>
    <w:p w14:paraId="35DC7FC0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2.1 样本</w:t>
      </w:r>
    </w:p>
    <w:p w14:paraId="35DC7FC1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本研究原始数据为四项预注册被试内实验，总有效被试 686 名，样本包含两类群体：在校大学生、线上实验平台有偿被试。实验采用分时段分离设计，将高、低认知负荷任务拆分至两个独立工作日完成，规避练习效应与实验期望效应干扰。原始数据完整保留主观负荷评分、Stroop 任务行为数据（反应时、正确率），同步记录可用于 EZ 漂移扩散模型建模的单试次原始行为记录，全部数据可依托公开实验流程复现提取。</w:t>
      </w:r>
    </w:p>
    <w:p w14:paraId="3E4078D3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本次复现完整采用原文 Study 4 公开原始数据集，未增减、修改样本，无样本改动操作。</w:t>
      </w:r>
    </w:p>
    <w:p w14:paraId="35DC7FC3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2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.2 原研究方法简介</w:t>
      </w:r>
    </w:p>
    <w:p w14:paraId="1E688C0D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2.2.1 研究设计</w:t>
      </w:r>
    </w:p>
    <w:p w14:paraId="111C2DC0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整体采用被试内前后测实验设计，自变量为认知任务负荷（高负荷/低负荷两个水平），因变量分为两层：(1)主观指标：心理负荷、努力感、疲惫、挫败、无聊五级主观评分；</w:t>
      </w:r>
    </w:p>
    <w:p w14:paraId="2148CAAA">
      <w:pPr>
        <w:spacing w:line="300" w:lineRule="auto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(2)客观认知指标：Stroop 冲突任务行为指标、漂移扩散模型潜参数（决策边界、漂移率）。</w:t>
      </w:r>
    </w:p>
    <w:p w14:paraId="3E77BEF0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核心任务有三个：</w:t>
      </w:r>
    </w:p>
    <w:p w14:paraId="2528E368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低负荷操纵任务：5 分钟野生动物休闲视频观看任务；</w:t>
      </w:r>
    </w:p>
    <w:p w14:paraId="63E4E9E9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高负荷操纵任务：自适应符号计数任务，程序根据被试实时作答正确率动态调整任务难度，稳定诱发持续性高强度心理消耗；</w:t>
      </w:r>
    </w:p>
    <w:p w14:paraId="4D71B1E9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认知结果测量任务：经典色词 Stroop 任务，区分一致试次、不一致冲突试次采集行为数据。</w:t>
      </w:r>
    </w:p>
    <w:p w14:paraId="7973C227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实验采用分时段分离设计，将高、低认知负荷任务拆分至两个独立工作日完成，规避练习效应与实验期望效应干扰。</w:t>
      </w:r>
    </w:p>
    <w:p w14:paraId="61C98EAF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2.2.2 数据分析方法</w:t>
      </w:r>
    </w:p>
    <w:p w14:paraId="6790156D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主观评分差异检验：多层贝叶斯线性模型，对比高低负荷条件下主观感受得分差异；</w:t>
      </w:r>
    </w:p>
    <w:p w14:paraId="4ECD9B7B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传统行为指标分析：多层线性模型检验反应时、正确率、Stroop 冲突效应的组间差异；</w:t>
      </w:r>
    </w:p>
    <w:p w14:paraId="79964C8A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认知机制建模：EZ 漂移扩散模型提取决策边界、漂移率潜变量，再通过贝叶斯模型分析负荷操纵对两类参数的影响；额外采用冲突任务专用拓展扩散模型交叉验证结果稳定性；</w:t>
      </w:r>
    </w:p>
    <w:p w14:paraId="723FD65B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相关性分析：构建贝叶斯相关模型，检验主观疲惫感受与扩散模型参数的线性关联。</w:t>
      </w:r>
    </w:p>
    <w:p w14:paraId="7599B2D5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2.2.3 分析软件与工具包</w:t>
      </w:r>
    </w:p>
    <w:p w14:paraId="3FEBD155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实验程序编写与数据采集：PsychoPy；</w:t>
      </w:r>
    </w:p>
    <w:p w14:paraId="06F1F4E4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数据预处理、传统统计分析：R 语言（tidyverse、lme4 包）；</w:t>
      </w:r>
    </w:p>
    <w:p w14:paraId="18C1C021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贝叶斯多层建模：R 语言 brms 包；</w:t>
      </w:r>
    </w:p>
    <w:p w14:paraId="51B1665A">
      <w:pPr>
        <w:spacing w:line="300" w:lineRule="auto"/>
        <w:ind w:firstLine="422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漂移扩散模型参数拟合：R 语言 rtdists、EZdiffusion 包。</w:t>
      </w:r>
    </w:p>
    <w:p w14:paraId="35DC7FC5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2</w:t>
      </w: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.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</w:t>
      </w: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 xml:space="preserve"> 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重复思路说明</w:t>
      </w:r>
    </w:p>
    <w:p w14:paraId="35DC7FC6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对选用的文章进行复现的思路，包括选取了哪些部分重复及其原因，在使用原文献方法进行重复时是否有需要改动的情况、具体如何改动的。</w:t>
      </w:r>
    </w:p>
    <w:p w14:paraId="007D4A6F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2.3.1 重复范围</w:t>
      </w:r>
    </w:p>
    <w:p w14:paraId="0EA37013">
      <w:pPr>
        <w:spacing w:line="300" w:lineRule="auto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完整选取原文Study 4全部分析模块，包含三大部分：</w:t>
      </w:r>
    </w:p>
    <w:p w14:paraId="27640D26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认知负荷操纵有效性检验（主观疲惫、主观努力评分线性混合模型）；</w:t>
      </w:r>
    </w:p>
    <w:p w14:paraId="57E27F5C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2（负荷）×2（词色一致性）Stroop 行为任务分析（反应时、正确率双模型）；</w:t>
      </w:r>
    </w:p>
    <w:p w14:paraId="6F15DE23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DDM 扩散模型潜参数分析（决策边界a、漂移速度v单预测变量混合模型）。</w:t>
      </w:r>
    </w:p>
    <w:p w14:paraId="6BE9DBA2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2.3.2 选取原因</w:t>
      </w:r>
    </w:p>
    <w:p w14:paraId="6FAD3B4D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实验流程完备且数据</w:t>
      </w:r>
      <w:r>
        <w:rPr>
          <w:rFonts w:hint="eastAsia" w:ascii="Times New Roman" w:hAnsi="Times New Roman" w:eastAsia="宋体" w:cs="Times New Roman"/>
          <w:szCs w:val="24"/>
          <w14:ligatures w14:val="none"/>
        </w:rPr>
        <w:t>开源：</w:t>
      </w:r>
      <w:r>
        <w:rPr>
          <w:rFonts w:ascii="Times New Roman" w:hAnsi="Times New Roman" w:eastAsia="宋体" w:cs="Times New Roman"/>
          <w:szCs w:val="24"/>
          <w14:ligatures w14:val="none"/>
        </w:rPr>
        <w:t>Study 4 是原文四项递进实验的收尾完善版本，整合前 Study1-3 全部操纵、测量指标，同时作者在 OSF 平台公开完整原始数据集，包含主观量表、逐试次 Stroop 行为、可拟合 DDM 的反应时与正确率数据，能够完整复刻原文从数据清洗、聚合到统计建模的全流程，无数据缺失限制。</w:t>
      </w:r>
    </w:p>
    <w:p w14:paraId="39829C89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结论具备全文代表性</w:t>
      </w:r>
      <w:r>
        <w:rPr>
          <w:rFonts w:hint="eastAsia" w:ascii="Times New Roman" w:hAnsi="Times New Roman" w:eastAsia="宋体" w:cs="Times New Roman"/>
          <w:szCs w:val="24"/>
          <w14:ligatures w14:val="none"/>
        </w:rPr>
        <w:t>：</w:t>
      </w:r>
      <w:r>
        <w:rPr>
          <w:rFonts w:ascii="Times New Roman" w:hAnsi="Times New Roman" w:eastAsia="宋体" w:cs="Times New Roman"/>
          <w:szCs w:val="24"/>
          <w14:ligatures w14:val="none"/>
        </w:rPr>
        <w:t>Study 4 的各项统计趋势、显著性结果与四项实验汇总元分析结论完全一致，复现该实验即可完整检验文章两大核心 DDM 认知机制假设，可代表整篇文献核心推论。</w:t>
      </w:r>
    </w:p>
    <w:p w14:paraId="3856A646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实操可行性高</w:t>
      </w:r>
      <w:r>
        <w:rPr>
          <w:rFonts w:hint="eastAsia" w:ascii="Times New Roman" w:hAnsi="Times New Roman" w:eastAsia="宋体" w:cs="Times New Roman"/>
          <w:szCs w:val="24"/>
          <w14:ligatures w14:val="none"/>
        </w:rPr>
        <w:t>：</w:t>
      </w:r>
      <w:r>
        <w:rPr>
          <w:rFonts w:ascii="Times New Roman" w:hAnsi="Times New Roman" w:eastAsia="宋体" w:cs="Times New Roman"/>
          <w:szCs w:val="24"/>
          <w14:ligatures w14:val="none"/>
        </w:rPr>
        <w:t>该实验是心理学教学、开源复现作业中使用最广泛的样本，配套 R 语言分析代码、教学参考案例充足，适配本次课程复现作业的实操条件。</w:t>
      </w:r>
    </w:p>
    <w:p w14:paraId="2EB4A093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实验设计规范</w:t>
      </w:r>
      <w:r>
        <w:rPr>
          <w:rFonts w:hint="eastAsia" w:ascii="Times New Roman" w:hAnsi="Times New Roman" w:eastAsia="宋体" w:cs="Times New Roman"/>
          <w:szCs w:val="24"/>
          <w14:ligatures w14:val="none"/>
        </w:rPr>
        <w:t>：</w:t>
      </w:r>
      <w:r>
        <w:rPr>
          <w:rFonts w:ascii="Times New Roman" w:hAnsi="Times New Roman" w:eastAsia="宋体" w:cs="Times New Roman"/>
          <w:szCs w:val="24"/>
          <w14:ligatures w14:val="none"/>
        </w:rPr>
        <w:t>采用被试内设计，有效控制个体差异，预注册流程完整，操纵范式标准化，能够稳定复现主观负荷效应与 Stroop 经典冲突效应，适合检验理论假设的可重复性。</w:t>
      </w:r>
    </w:p>
    <w:p w14:paraId="4D9A4999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2.3.3 复现过程中对原文方法的改动内容与具体操作</w:t>
      </w:r>
    </w:p>
    <w:p w14:paraId="270594AF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本次复现存在两处可控改动，分别为数据预处理简化、统计建模框架替换，全部改动均提前明确，模型核心结构与原文保持一致。</w:t>
      </w:r>
    </w:p>
    <w:p w14:paraId="064F799F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改动：数据剔除规则简化</w:t>
      </w:r>
    </w:p>
    <w:p w14:paraId="4FEEDB90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原文完整剔除标准：①Stroop 反应时＜250ms；②基于 MAD 法剔除极端反应时试次；③剔除 Stroop 一致试次正确率过低、负荷任务作答不认真的低质量被试。</w:t>
      </w:r>
    </w:p>
    <w:p w14:paraId="092E353A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本次复现改动：仅执行反应时＜250ms 试次剔除，省略 MAD 极端值筛选、低质量被试剔除两步。</w:t>
      </w:r>
    </w:p>
    <w:p w14:paraId="50DD8B41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改动理由：算力、时间有限，简化清洗流程降低运算复杂度；同时该改动仅小幅增加数据噪声，不会改变变量整体组间变化趋势，可清晰对比原文显著效应与本次微弱趋势差异，便于在讨论部分分析可重复性波动来源。</w:t>
      </w:r>
    </w:p>
    <w:p w14:paraId="30BD2C87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2.3.4 无自主创新方法说明</w:t>
      </w:r>
    </w:p>
    <w:p w14:paraId="3CBCB443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ascii="Times New Roman" w:hAnsi="Times New Roman" w:eastAsia="宋体" w:cs="Times New Roman"/>
          <w:szCs w:val="24"/>
          <w14:ligatures w14:val="none"/>
        </w:rPr>
        <w:t>本次复现未使用原创创新分析方法，全部数据处理、建模逻辑均基于原文公开流程仅做适配性简化调整，无新增、改造统计分析工具与理论模型。所有改动均为适配本地运行环境、课程作业限制的被动调整，未主动优化或重构分析框架。</w:t>
      </w:r>
    </w:p>
    <w:p w14:paraId="35DC7FC8">
      <w:pPr>
        <w:spacing w:line="300" w:lineRule="auto"/>
        <w:rPr>
          <w:rFonts w:ascii="Times New Roman" w:hAnsi="Times New Roman" w:eastAsia="宋体" w:cs="Times New Roman"/>
          <w:b/>
          <w:bCs/>
          <w:sz w:val="28"/>
          <w:szCs w:val="36"/>
          <w14:ligatures w14:val="none"/>
        </w:rPr>
      </w:pPr>
      <w:r>
        <w:rPr>
          <w:rFonts w:ascii="Times New Roman" w:hAnsi="Times New Roman" w:eastAsia="宋体" w:cs="Times New Roman"/>
          <w:b/>
          <w:bCs/>
          <w:sz w:val="28"/>
          <w:szCs w:val="36"/>
          <w14:ligatures w14:val="none"/>
        </w:rPr>
        <w:t xml:space="preserve">3 </w:t>
      </w:r>
      <w:r>
        <w:rPr>
          <w:rFonts w:hint="eastAsia" w:ascii="Times New Roman" w:hAnsi="Times New Roman" w:eastAsia="宋体" w:cs="Times New Roman"/>
          <w:b/>
          <w:bCs/>
          <w:sz w:val="28"/>
          <w:szCs w:val="36"/>
          <w14:ligatures w14:val="none"/>
        </w:rPr>
        <w:t>结果</w:t>
      </w:r>
    </w:p>
    <w:p w14:paraId="35DC7FC9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 xml:space="preserve">3.1 </w:t>
      </w: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描述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性</w:t>
      </w: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统计</w:t>
      </w:r>
    </w:p>
    <w:p w14:paraId="35DC7FCA">
      <w:pPr>
        <w:spacing w:line="300" w:lineRule="auto"/>
        <w:ind w:firstLine="420" w:firstLineChars="200"/>
        <w:rPr>
          <w:rFonts w:ascii="Times New Roman" w:hAnsi="Times New Roman" w:eastAsia="宋体" w:cs="Times New Roman"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对原文献描述性统计进行重复</w:t>
      </w:r>
      <w:r>
        <w:rPr>
          <w:rFonts w:hint="eastAsia" w:ascii="Times New Roman" w:hAnsi="Times New Roman" w:eastAsia="宋体" w:cs="Times New Roman"/>
          <w:szCs w:val="24"/>
          <w:lang w:eastAsia="zh-CN"/>
          <w14:ligatures w14:val="none"/>
        </w:rPr>
        <w:t>，</w:t>
      </w:r>
      <w:r>
        <w:rPr>
          <w:rFonts w:hint="eastAsia" w:ascii="Times New Roman" w:hAnsi="Times New Roman" w:eastAsia="宋体" w:cs="Times New Roman"/>
          <w:szCs w:val="24"/>
          <w:lang w:val="en-US" w:eastAsia="zh-CN"/>
          <w14:ligatures w14:val="none"/>
        </w:rPr>
        <w:t>但是由于原文献并没有给描述统计的结果</w:t>
      </w:r>
    </w:p>
    <w:p w14:paraId="45483B3A">
      <w:pPr>
        <w:spacing w:line="300" w:lineRule="auto"/>
        <w:jc w:val="center"/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</w:pPr>
      <w:bookmarkStart w:id="0" w:name="_GoBack"/>
      <w:bookmarkEnd w:id="0"/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777777"/>
          <w:spacing w:val="0"/>
          <w:sz w:val="10"/>
          <w:szCs w:val="10"/>
          <w:shd w:val="clear" w:fill="FFFFFF"/>
        </w:rPr>
        <w:t>Study 4 Stroop 被试层级描述统计</w:t>
      </w:r>
    </w:p>
    <w:tbl>
      <w:tblPr>
        <w:tblStyle w:val="5"/>
        <w:tblW w:w="383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687"/>
        <w:gridCol w:w="454"/>
        <w:gridCol w:w="565"/>
        <w:gridCol w:w="448"/>
        <w:gridCol w:w="615"/>
        <w:gridCol w:w="498"/>
      </w:tblGrid>
      <w:tr w14:paraId="4455A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570" w:type="dxa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1F1F552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46A992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congruency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42821B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N_subj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1FDF9FA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Mean_RT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B83F522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SD_RT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430013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Mean_Acc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14FE134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SD_Acc</w:t>
            </w:r>
          </w:p>
        </w:tc>
      </w:tr>
      <w:tr w14:paraId="118A55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570" w:type="dxa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25C80A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control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99726A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congruent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1B7EE8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2F942B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0.619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249C7D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0.104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9D067B8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0.988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80BB3E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0.014</w:t>
            </w:r>
          </w:p>
        </w:tc>
      </w:tr>
      <w:tr w14:paraId="40CFC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570" w:type="dxa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11DFF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control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756028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incongruent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42E4ABD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C31CE45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0.739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9A95B3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0.147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54A092D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0.923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8C7DE3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0.106</w:t>
            </w:r>
          </w:p>
        </w:tc>
      </w:tr>
      <w:tr w14:paraId="09718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570" w:type="dxa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B8AFA1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deplete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CF1B24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congruent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DA08E9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87B03BF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0.608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013A92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0.096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00590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0.985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600B3A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0.019</w:t>
            </w:r>
          </w:p>
        </w:tc>
      </w:tr>
      <w:tr w14:paraId="52DC0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570" w:type="dxa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B2258F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deplete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20C165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incongruent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187FF1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73A7C2B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0.719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D32F40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0.137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CEBC7D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0.916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BF7C19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0.118</w:t>
            </w:r>
          </w:p>
        </w:tc>
      </w:tr>
    </w:tbl>
    <w:p w14:paraId="69CF9DD2">
      <w:pPr>
        <w:keepNext w:val="0"/>
        <w:keepLines w:val="0"/>
        <w:widowControl/>
        <w:suppressLineNumbers w:val="0"/>
        <w:jc w:val="left"/>
      </w:pPr>
    </w:p>
    <w:p w14:paraId="61C21E65">
      <w:pPr>
        <w:spacing w:line="300" w:lineRule="auto"/>
        <w:jc w:val="center"/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777777"/>
          <w:spacing w:val="0"/>
          <w:sz w:val="10"/>
          <w:szCs w:val="10"/>
          <w:shd w:val="clear" w:fill="FFFFFF"/>
        </w:rPr>
        <w:t>Study 4 DDM 参数描述统计</w:t>
      </w:r>
    </w:p>
    <w:tbl>
      <w:tblPr>
        <w:tblStyle w:val="5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454"/>
        <w:gridCol w:w="487"/>
        <w:gridCol w:w="371"/>
        <w:gridCol w:w="487"/>
        <w:gridCol w:w="371"/>
      </w:tblGrid>
      <w:tr w14:paraId="62C3D9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5F1B153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149C3B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N_subj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87A968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Mean_a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270F589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SD_a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29BAD64E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Mean_v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B4BBE42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SD_v</w:t>
            </w:r>
          </w:p>
        </w:tc>
      </w:tr>
      <w:tr w14:paraId="5BCF7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3F58C9F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control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13B1556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8F7C441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0.143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4560BE0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0.048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573334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0.272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A37312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0.094</w:t>
            </w:r>
          </w:p>
        </w:tc>
      </w:tr>
      <w:tr w14:paraId="26382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99D219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deplete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F4C77C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1FE81D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0.139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8F2ACA5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0.049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6A25BA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0.274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1E66C77">
            <w:pPr>
              <w:keepNext w:val="0"/>
              <w:keepLines w:val="0"/>
              <w:widowControl/>
              <w:suppressLineNumbers w:val="0"/>
              <w:spacing w:line="11" w:lineRule="atLeast"/>
              <w:jc w:val="center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0.098</w:t>
            </w:r>
          </w:p>
        </w:tc>
      </w:tr>
    </w:tbl>
    <w:p w14:paraId="10536143">
      <w:pPr>
        <w:spacing w:line="300" w:lineRule="auto"/>
        <w:jc w:val="both"/>
      </w:pPr>
    </w:p>
    <w:p w14:paraId="08F89F7D">
      <w:pPr>
        <w:spacing w:line="300" w:lineRule="auto"/>
        <w:jc w:val="center"/>
      </w:pPr>
      <w:r>
        <w:rPr>
          <w:rFonts w:ascii="Helvetica" w:hAnsi="Helvetica" w:eastAsia="Helvetica" w:cs="Helvetica"/>
          <w:b/>
          <w:bCs/>
          <w:i w:val="0"/>
          <w:iCs w:val="0"/>
          <w:caps w:val="0"/>
          <w:color w:val="777777"/>
          <w:spacing w:val="0"/>
          <w:sz w:val="10"/>
          <w:szCs w:val="10"/>
          <w:shd w:val="clear" w:fill="FFFFFF"/>
        </w:rPr>
        <w:t>Study 4 主观评定描述统计</w:t>
      </w:r>
    </w:p>
    <w:tbl>
      <w:tblPr>
        <w:tblStyle w:val="5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4"/>
        <w:gridCol w:w="409"/>
        <w:gridCol w:w="750"/>
        <w:gridCol w:w="640"/>
        <w:gridCol w:w="666"/>
        <w:gridCol w:w="556"/>
        <w:gridCol w:w="823"/>
        <w:gridCol w:w="713"/>
        <w:gridCol w:w="687"/>
        <w:gridCol w:w="577"/>
        <w:gridCol w:w="1086"/>
        <w:gridCol w:w="975"/>
      </w:tblGrid>
      <w:tr w14:paraId="6F3653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4C4BF6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20C1F0D1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N_obs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958B33E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Mean_Fatigue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D8864D8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SD_Fatigue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73D9AA7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Mean_Effort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E4F9B2D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SD_Effort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79E8F61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Mean_Frustrate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694860F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SD_Frustrate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F039B25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Mean_Bored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9D124A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SD_Bored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4907919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Mean_MentalDemand</w:t>
            </w:r>
          </w:p>
        </w:tc>
        <w:tc>
          <w:tcPr>
            <w:tcW w:w="0" w:type="auto"/>
            <w:tcBorders>
              <w:top w:val="single" w:color="auto" w:sz="4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2F3F59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SD_MentalDemand</w:t>
            </w:r>
          </w:p>
        </w:tc>
      </w:tr>
      <w:tr w14:paraId="72913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D6812B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control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F84EF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74938F3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1.81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BE5EF4D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1.09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48B42F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2.11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9AA7A4B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1.33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F31C180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2.05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BCEF0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1.38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693715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3.10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40EB4F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1.83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3C8ED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2.17</w:t>
            </w:r>
          </w:p>
        </w:tc>
        <w:tc>
          <w:tcPr>
            <w:tcW w:w="0" w:type="auto"/>
            <w:tcBorders>
              <w:top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83D87F8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1.28</w:t>
            </w:r>
          </w:p>
        </w:tc>
      </w:tr>
      <w:tr w14:paraId="183619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702FF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deplete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8235E6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121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18CD51C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5.34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52FB10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1.62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A8D5B5A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5.98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461C2ED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1.14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3847384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4.37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36F0E7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1.92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100805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4.01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4BD3AA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2.06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56ECF91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6.16</w:t>
            </w:r>
          </w:p>
        </w:tc>
        <w:tc>
          <w:tcPr>
            <w:tcW w:w="0" w:type="auto"/>
            <w:tcBorders>
              <w:top w:val="single" w:color="DDDDDD" w:sz="2" w:space="0"/>
              <w:bottom w:val="single" w:color="auto" w:sz="4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74A8873">
            <w:pPr>
              <w:keepNext w:val="0"/>
              <w:keepLines w:val="0"/>
              <w:widowControl/>
              <w:suppressLineNumbers w:val="0"/>
              <w:spacing w:line="11" w:lineRule="atLeast"/>
              <w:jc w:val="righ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1.04</w:t>
            </w:r>
          </w:p>
        </w:tc>
      </w:tr>
    </w:tbl>
    <w:p w14:paraId="484BAAC5">
      <w:pPr>
        <w:keepNext w:val="0"/>
        <w:keepLines w:val="0"/>
        <w:widowControl/>
        <w:suppressLineNumbers w:val="0"/>
        <w:jc w:val="left"/>
      </w:pPr>
    </w:p>
    <w:p w14:paraId="56BDAE2B">
      <w:pPr>
        <w:spacing w:line="300" w:lineRule="auto"/>
        <w:jc w:val="center"/>
        <w:rPr>
          <w:rFonts w:hint="eastAsia"/>
        </w:rPr>
      </w:pPr>
    </w:p>
    <w:p w14:paraId="35DC7FF9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3.2 推断性统计</w:t>
      </w:r>
    </w:p>
    <w:p w14:paraId="35DC7FFA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3.2.1 使用与原文献相同方法的推断性统计</w:t>
      </w:r>
    </w:p>
    <w:p w14:paraId="462A0D1D">
      <w:pPr>
        <w:spacing w:line="300" w:lineRule="auto"/>
        <w:ind w:firstLine="420" w:firstLineChars="200"/>
        <w:contextualSpacing/>
        <w:rPr>
          <w:rFonts w:hint="eastAsia" w:ascii="宋体" w:hAnsi="宋体" w:eastAsia="宋体" w:cs="宋体"/>
          <w:strike w:val="0"/>
        </w:rPr>
      </w:pPr>
      <w:r>
        <w:rPr>
          <w:rFonts w:hint="eastAsia" w:ascii="宋体" w:hAnsi="宋体" w:eastAsia="宋体" w:cs="宋体"/>
          <w:strike w:val="0"/>
        </w:rPr>
        <w:t>采用与原文一致的贝叶斯多层线性模型（brms包）分析，结果如下：</w:t>
      </w:r>
    </w:p>
    <w:p w14:paraId="66E23D4D">
      <w:pPr>
        <w:spacing w:line="300" w:lineRule="auto"/>
        <w:ind w:firstLine="420" w:firstLineChars="200"/>
        <w:contextualSpacing/>
        <w:rPr>
          <w:strike w:val="0"/>
        </w:rPr>
      </w:pPr>
    </w:p>
    <w:p w14:paraId="4D572638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color w:val="000000" w:themeColor="text1"/>
          <w:sz w:val="13"/>
          <w:szCs w:val="13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 xml:space="preserve">操纵检验汇总：主观评定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Condition</w:t>
      </w:r>
    </w:p>
    <w:tbl>
      <w:tblPr>
        <w:tblStyle w:val="5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9"/>
        <w:gridCol w:w="1508"/>
        <w:gridCol w:w="693"/>
        <w:gridCol w:w="1508"/>
      </w:tblGrid>
      <w:tr w14:paraId="0519A1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FE5001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评定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1FC5BC8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b 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(95% HPD)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91D943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yes Factor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AA9E3B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hen’s d (95% HPD)</w:t>
            </w:r>
          </w:p>
        </w:tc>
      </w:tr>
      <w:tr w14:paraId="3ECAC3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E11706E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Fatigue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BF1E6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1.87, 95% HPD [1.55, 2.20]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069292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BF &gt; 500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913B6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 = 1.18, 95% HPD [0.90, 1.50]</w:t>
            </w:r>
          </w:p>
        </w:tc>
      </w:tr>
      <w:tr w14:paraId="15812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A4386C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Effort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458CD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1.79, 95% HPD [1.48, 2.11]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9D10E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BF &gt; 500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E431DD9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 = 1.12, 95% HPD [0.83, 1.39]</w:t>
            </w:r>
          </w:p>
        </w:tc>
      </w:tr>
      <w:tr w14:paraId="209DC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F609E4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Frustrate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4B245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1.56, 95% HPD [1.25, 1.87]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E56113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BF &gt; 500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AF1C5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 = 1.04, 95% HPD [0.74, 1.33]</w:t>
            </w:r>
          </w:p>
        </w:tc>
      </w:tr>
      <w:tr w14:paraId="2E2F7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61FE2E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Bored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148C88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0.75, 95% HPD [0.39, 1.10]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82C4DA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BF &gt; 500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69C08C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 = 0.42, 95% HPD [0.21, 0.63]</w:t>
            </w:r>
          </w:p>
        </w:tc>
      </w:tr>
      <w:tr w14:paraId="75A473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EDC7D9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MentalDemand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C63F75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1.71, 95% HPD [1.40, 2.03]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44EF18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BF &gt; 500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4E471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d = 1.06, 95% HPD [0.79, 1.35]</w:t>
            </w:r>
          </w:p>
        </w:tc>
      </w:tr>
    </w:tbl>
    <w:p w14:paraId="5F731BBE">
      <w:pPr>
        <w:keepNext w:val="0"/>
        <w:keepLines w:val="0"/>
        <w:widowControl/>
        <w:suppressLineNumbers w:val="0"/>
        <w:jc w:val="left"/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0"/>
          <w:szCs w:val="10"/>
          <w:shd w:val="clear" w:fill="FFFFFF"/>
        </w:rPr>
      </w:pPr>
      <w:r>
        <w:rPr>
          <w:rFonts w:hint="eastAsia" w:ascii="Helvetica" w:hAnsi="Helvetica" w:eastAsia="宋体" w:cs="Helvetica"/>
          <w:i w:val="0"/>
          <w:iCs w:val="0"/>
          <w:caps w:val="0"/>
          <w:color w:val="333333"/>
          <w:spacing w:val="0"/>
          <w:sz w:val="10"/>
          <w:szCs w:val="10"/>
          <w:shd w:val="clear" w:fill="FFFFFF"/>
          <w:lang w:val="en-US" w:eastAsia="zh-CN"/>
        </w:rPr>
        <w:t>注：</w:t>
      </w:r>
      <w:r>
        <w:rPr>
          <w:rFonts w:ascii="Helvetica" w:hAnsi="Helvetica" w:eastAsia="Helvetica" w:cs="Helvetica"/>
          <w:i w:val="0"/>
          <w:iCs w:val="0"/>
          <w:caps w:val="0"/>
          <w:color w:val="333333"/>
          <w:spacing w:val="0"/>
          <w:sz w:val="10"/>
          <w:szCs w:val="10"/>
          <w:shd w:val="clear" w:fill="FFFFFF"/>
        </w:rPr>
        <w:t>高负荷（deplete）条件下主观疲惫、努力、挫折感、心理需求均显著高于低负荷（control），操纵成功。</w:t>
      </w:r>
    </w:p>
    <w:p w14:paraId="3CC244F7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Stroop 反应时贝叶斯模型结果</w:t>
      </w:r>
    </w:p>
    <w:tbl>
      <w:tblPr>
        <w:tblStyle w:val="5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7"/>
        <w:gridCol w:w="2216"/>
      </w:tblGrid>
      <w:tr w14:paraId="45E38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08D260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效应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F71F36B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b和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d 估计 </w:t>
            </w:r>
          </w:p>
        </w:tc>
      </w:tr>
      <w:tr w14:paraId="0D3F23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86201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(deplete vs control)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04BBD5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−0.01, 95% HPD [−0.02, −0.005], d = −0.25</w:t>
            </w:r>
          </w:p>
        </w:tc>
      </w:tr>
      <w:tr w14:paraId="210C5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3075EA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Congruency (incongruent vs congruent)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36A7A9B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0.12, 95% HPD [0.11, 0.13], d = 2.05</w:t>
            </w:r>
          </w:p>
        </w:tc>
      </w:tr>
      <w:tr w14:paraId="6AA7A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56AAE8B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× Congruency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0C9A0A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−0.007, 95% HPD [−0.02, 0.01], d = −0.12</w:t>
            </w:r>
          </w:p>
        </w:tc>
      </w:tr>
    </w:tbl>
    <w:p w14:paraId="35DC802D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Stroop 正确率贝叶斯模型结果</w:t>
      </w:r>
    </w:p>
    <w:tbl>
      <w:tblPr>
        <w:tblStyle w:val="5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7"/>
        <w:gridCol w:w="2214"/>
      </w:tblGrid>
      <w:tr w14:paraId="6266F6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58AF1E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效应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C364A8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b和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d 估计 </w:t>
            </w:r>
          </w:p>
        </w:tc>
      </w:tr>
      <w:tr w14:paraId="1FD99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69E507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(deplete vs control)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27CF2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−0.004, 95% HPD [−0.02, 0.007], d = −0.06</w:t>
            </w:r>
          </w:p>
        </w:tc>
      </w:tr>
      <w:tr w14:paraId="608C2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4EAE4DE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Congruency (incongruent vs congruent)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BF130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−0.07, 95% HPD [−0.08, −0.05], d = −0.95</w:t>
            </w:r>
          </w:p>
        </w:tc>
      </w:tr>
      <w:tr w14:paraId="0ED7E8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4DBD5D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× Congruency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E7309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−0.001, 95% HPD [−0.02, 0.01], d = −0.02</w:t>
            </w:r>
          </w:p>
        </w:tc>
      </w:tr>
    </w:tbl>
    <w:p w14:paraId="219B1E47">
      <w:pPr>
        <w:spacing w:line="300" w:lineRule="auto"/>
        <w:contextualSpacing/>
        <w:jc w:val="center"/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 </w:t>
      </w:r>
      <w:r>
        <w:rPr>
          <w:rFonts w:hint="default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DDM 决策边界 a 贝叶斯模型结果</w:t>
      </w:r>
    </w:p>
    <w:tbl>
      <w:tblPr>
        <w:tblStyle w:val="5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7"/>
        <w:gridCol w:w="2244"/>
      </w:tblGrid>
      <w:tr w14:paraId="43F26D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05D1D5F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效应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996956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b和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d 估计 </w:t>
            </w:r>
          </w:p>
        </w:tc>
      </w:tr>
      <w:tr w14:paraId="73781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21D5E3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(deplete vs control)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06DE9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−0.006, 95% HPD [−0.01, 7e−04], d = −0.13</w:t>
            </w:r>
          </w:p>
        </w:tc>
      </w:tr>
      <w:tr w14:paraId="267FEC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40435D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Congruency (incongruent vs congruent)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C83732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−0.01, 95% HPD [−0.02, −0.004], d = −0.27</w:t>
            </w:r>
          </w:p>
        </w:tc>
      </w:tr>
    </w:tbl>
    <w:p w14:paraId="10089152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DDM 漂移率 v 贝叶斯模型结果</w:t>
      </w:r>
    </w:p>
    <w:tbl>
      <w:tblPr>
        <w:tblStyle w:val="5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77"/>
        <w:gridCol w:w="2214"/>
      </w:tblGrid>
      <w:tr w14:paraId="2948F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1BE2EE4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效应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3BFB67E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b和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d 估计 </w:t>
            </w:r>
          </w:p>
        </w:tc>
      </w:tr>
      <w:tr w14:paraId="2878BA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D06F2C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Condition (deplete vs control)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3884D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−0.003, 95% HPD [−0.01, 0.007], d = −0.05</w:t>
            </w:r>
          </w:p>
        </w:tc>
      </w:tr>
      <w:tr w14:paraId="3CE2E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AF880F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Congruency (incongruent vs congruent)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50882B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 = −0.10, 95% HPD [−0.11, −0.09], d = −1.56</w:t>
            </w:r>
          </w:p>
        </w:tc>
      </w:tr>
    </w:tbl>
    <w:p w14:paraId="0BAAA417">
      <w:pPr>
        <w:keepNext w:val="0"/>
        <w:keepLines w:val="0"/>
        <w:widowControl/>
        <w:suppressLineNumbers w:val="0"/>
        <w:jc w:val="left"/>
      </w:pPr>
    </w:p>
    <w:p w14:paraId="13AE24BD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DDM 决策边界 a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主观评定</w:t>
      </w:r>
    </w:p>
    <w:tbl>
      <w:tblPr>
        <w:tblStyle w:val="5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1622"/>
        <w:gridCol w:w="693"/>
        <w:gridCol w:w="1564"/>
      </w:tblGrid>
      <w:tr w14:paraId="29AE1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4745149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评定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C54CC9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(95% HPD)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DDC0499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yes Factor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60EF645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hen’s d (95% HPD) </w:t>
            </w:r>
          </w:p>
        </w:tc>
      </w:tr>
      <w:tr w14:paraId="6246B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7702C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挫折感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5BAFB7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−0.001, 95% HPD [−0.005, 0.002]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E64E60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0.05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C7C3E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−0.04, 95% HPD [−0.12, 0.04] |</w:t>
            </w:r>
          </w:p>
        </w:tc>
      </w:tr>
      <w:tr w14:paraId="4F983C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9F04C5C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无聊感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11BC73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8e−04, 95% HPD [−0.003, 0.004]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827379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 0.05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5BB55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0.02, 95% HPD [−0.07, 0.11] |</w:t>
            </w:r>
          </w:p>
        </w:tc>
      </w:tr>
      <w:tr w14:paraId="0E9F6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B7D8B6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疲惫感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0B17AF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−0.001, 95% HPD [−0.004, 0.001]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29AEB8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0.05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126177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−0.03, 95% HPD [−0.09, 0.03] |</w:t>
            </w:r>
          </w:p>
        </w:tc>
      </w:tr>
      <w:tr w14:paraId="4C549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2F9B7D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努力感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FFD221F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−0.002, 95% HPD [−0.004, 0.00]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2A0F30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0.14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5C0A55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−0.05, 95% HPD [−0.11, 0.008] |</w:t>
            </w:r>
          </w:p>
        </w:tc>
      </w:tr>
      <w:tr w14:paraId="3A091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AFECB5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心理需求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93716E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−0.002, 95% HPD [−0.004, 0.00]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79C4B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0.08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2C5723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−0.05, 95% HPD [−0.10, 0.01] |</w:t>
            </w:r>
          </w:p>
        </w:tc>
      </w:tr>
    </w:tbl>
    <w:p w14:paraId="6B78B150">
      <w:pPr>
        <w:spacing w:line="300" w:lineRule="auto"/>
        <w:contextualSpacing/>
        <w:jc w:val="center"/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 xml:space="preserve">DDM 漂移率 v 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～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 w:themeColor="text1"/>
          <w:spacing w:val="0"/>
          <w:sz w:val="13"/>
          <w:szCs w:val="13"/>
          <w:shd w:val="clear" w:fill="FFFFFF"/>
          <w14:textFill>
            <w14:solidFill>
              <w14:schemeClr w14:val="tx1"/>
            </w14:solidFill>
          </w14:textFill>
        </w:rPr>
        <w:t>主观评定</w:t>
      </w:r>
    </w:p>
    <w:tbl>
      <w:tblPr>
        <w:tblStyle w:val="5"/>
        <w:tblW w:w="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20"/>
        <w:gridCol w:w="1622"/>
        <w:gridCol w:w="693"/>
        <w:gridCol w:w="1564"/>
      </w:tblGrid>
      <w:tr w14:paraId="4AB7B7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7516CA6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评定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4B02F0FE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(95% HPD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441706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B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yes Factor </w:t>
            </w:r>
          </w:p>
        </w:tc>
        <w:tc>
          <w:tcPr>
            <w:tcW w:w="0" w:type="auto"/>
            <w:tcBorders>
              <w:top w:val="nil"/>
              <w:bottom w:val="single" w:color="DDDDDD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bottom"/>
          </w:tcPr>
          <w:p w14:paraId="533CDF73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bottom"/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Co</w:t>
            </w:r>
            <w:r>
              <w:rPr>
                <w:rFonts w:hint="default" w:ascii="Helvetica" w:hAnsi="Helvetica" w:eastAsia="Helvetica" w:cs="Helvetica"/>
                <w:b/>
                <w:bCs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hen’s d (95% HPD) |</w:t>
            </w:r>
          </w:p>
        </w:tc>
      </w:tr>
      <w:tr w14:paraId="612587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41A964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挫折感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2B94D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−0.002, 95% HPD [−0.006, 0.003]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6A04A7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= 0.05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8986B47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−0.03, 95% HPD [−0.11, 0.05] |</w:t>
            </w:r>
          </w:p>
        </w:tc>
      </w:tr>
      <w:tr w14:paraId="4C85C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76FD82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无聊感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C2482D2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−0.005, 95% HPD [−0.009, 0.00]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83FEED1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= 0.21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5386CD2B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−0.09, 95% HPD [−0.17, 0.00] |</w:t>
            </w:r>
          </w:p>
        </w:tc>
      </w:tr>
      <w:tr w14:paraId="08494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EBCB096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疲惫感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D76349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0.00, 95% HPD [−0.004, 0.003]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63B59D8C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= 0.03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FDDFDD0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−0.006, 95% HPD [−0.07, 0.06] |</w:t>
            </w:r>
          </w:p>
        </w:tc>
      </w:tr>
      <w:tr w14:paraId="13ACD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7940F239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努力感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7F52E58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0.00, 95% HPD [−0.003, 0.003]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0A354CC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= 0.02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45C1C19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0.002, 95% HPD [−0.06, 0.06] |</w:t>
            </w:r>
          </w:p>
        </w:tc>
      </w:tr>
      <w:tr w14:paraId="2D5DF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22BF909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心理需求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3FBEAFED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 xml:space="preserve">0.00, 95% HPD [−0.003, 0.003] 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FE4208A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eastAsia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=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0.02</w:t>
            </w:r>
          </w:p>
        </w:tc>
        <w:tc>
          <w:tcPr>
            <w:tcW w:w="0" w:type="auto"/>
            <w:tcBorders>
              <w:top w:val="single" w:color="DDDDDD" w:sz="2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top"/>
          </w:tcPr>
          <w:p w14:paraId="11B2DC65">
            <w:pPr>
              <w:keepNext w:val="0"/>
              <w:keepLines w:val="0"/>
              <w:widowControl/>
              <w:suppressLineNumbers w:val="0"/>
              <w:spacing w:line="11" w:lineRule="atLeast"/>
              <w:jc w:val="left"/>
              <w:textAlignment w:val="top"/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0"/>
                <w:szCs w:val="10"/>
              </w:rPr>
            </w:pP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kern w:val="0"/>
                <w:sz w:val="10"/>
                <w:szCs w:val="10"/>
                <w:lang w:val="en-US" w:eastAsia="zh-CN" w:bidi="ar"/>
                <w14:ligatures w14:val="standardContextual"/>
              </w:rPr>
              <w:t>−0.002, 95% HPD [−0.06, 0.06] |</w:t>
            </w:r>
          </w:p>
        </w:tc>
      </w:tr>
    </w:tbl>
    <w:p w14:paraId="51EDA133">
      <w:pPr>
        <w:keepNext w:val="0"/>
        <w:keepLines w:val="0"/>
        <w:widowControl/>
        <w:suppressLineNumbers w:val="0"/>
        <w:jc w:val="left"/>
      </w:pPr>
    </w:p>
    <w:p w14:paraId="4106481A">
      <w:pPr>
        <w:keepNext w:val="0"/>
        <w:keepLines w:val="0"/>
        <w:widowControl/>
        <w:suppressLineNumbers w:val="0"/>
        <w:jc w:val="center"/>
        <w:rPr>
          <w:rFonts w:hint="default" w:ascii="Helvetica" w:hAnsi="Helvetica" w:eastAsia="Helvetica" w:cs="Helvetica"/>
          <w:i w:val="0"/>
          <w:iCs w:val="0"/>
          <w:caps w:val="0"/>
          <w:color w:val="777777"/>
          <w:spacing w:val="0"/>
          <w:sz w:val="10"/>
          <w:szCs w:val="10"/>
          <w:shd w:val="clear" w:fill="FFFFFF"/>
        </w:rPr>
      </w:pPr>
      <w:r>
        <w:drawing>
          <wp:inline distT="0" distB="0" distL="114300" distR="114300">
            <wp:extent cx="3703320" cy="3068955"/>
            <wp:effectExtent l="0" t="0" r="190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9F9E">
      <w:pPr>
        <w:spacing w:line="300" w:lineRule="auto"/>
        <w:rPr>
          <w:rFonts w:ascii="Helvetica" w:hAnsi="Helvetica" w:eastAsia="Helvetica" w:cs="Helvetica"/>
          <w:i w:val="0"/>
          <w:iCs w:val="0"/>
          <w:caps w:val="0"/>
          <w:color w:val="777777"/>
          <w:spacing w:val="0"/>
          <w:sz w:val="10"/>
          <w:szCs w:val="10"/>
          <w:shd w:val="clear" w:fill="FFFFFF"/>
        </w:rPr>
      </w:pPr>
    </w:p>
    <w:p w14:paraId="35DC802E">
      <w:pPr>
        <w:spacing w:line="300" w:lineRule="auto"/>
        <w:contextualSpacing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3.2.2 使用与原文献不同方法的推断性统计</w:t>
      </w:r>
    </w:p>
    <w:p w14:paraId="01674B18">
      <w:pPr>
        <w:spacing w:line="300" w:lineRule="auto"/>
        <w:ind w:firstLine="420" w:firstLineChars="200"/>
        <w:contextualSpacing/>
        <w:jc w:val="left"/>
        <w:rPr>
          <w:rFonts w:hint="eastAsia" w:ascii="Times New Roman" w:hAnsi="Times New Roman" w:eastAsia="宋体" w:cs="Times New Roman"/>
          <w:szCs w:val="24"/>
          <w:lang w:eastAsia="zh-CN"/>
          <w14:ligatures w14:val="none"/>
        </w:rPr>
      </w:pPr>
      <w:r>
        <w:rPr>
          <w:rFonts w:hint="eastAsia" w:ascii="Times New Roman" w:hAnsi="Times New Roman" w:eastAsia="宋体" w:cs="Times New Roman"/>
          <w:szCs w:val="24"/>
          <w14:ligatures w14:val="none"/>
        </w:rPr>
        <w:t>受本地 Windows 编译环境限制，Rtools 编译器缺失导致完整贝叶斯采样极易中断、渲染耗时过长，因此本次复现增设一套lme4+lmerTest 频率派多层线性模型作为替代分析方案，基于传统显著性检验框架完成推断统计，两种模型均匹配完全一致的数据分层结构、固定效应与随机截距设定。</w:t>
      </w:r>
      <w:r>
        <w:rPr>
          <w:rFonts w:hint="eastAsia" w:ascii="Times New Roman" w:hAnsi="Times New Roman" w:eastAsia="宋体" w:cs="Times New Roman"/>
          <w:szCs w:val="24"/>
          <w:lang w:eastAsia="zh-CN"/>
          <w14:ligatures w14:val="none"/>
        </w:rPr>
        <w:t>（</w:t>
      </w:r>
      <w:r>
        <w:rPr>
          <w:rFonts w:hint="eastAsia" w:ascii="Times New Roman" w:hAnsi="Times New Roman" w:eastAsia="宋体" w:cs="Times New Roman"/>
          <w:szCs w:val="24"/>
          <w:lang w:val="en-US" w:eastAsia="zh-CN"/>
          <w14:ligatures w14:val="none"/>
        </w:rPr>
        <w:t>但后来安装rtools解决了这个问题，由于已经跑出来了，便记录了。</w:t>
      </w:r>
      <w:r>
        <w:rPr>
          <w:rFonts w:hint="eastAsia" w:ascii="Times New Roman" w:hAnsi="Times New Roman" w:eastAsia="宋体" w:cs="Times New Roman"/>
          <w:szCs w:val="24"/>
          <w:lang w:eastAsia="zh-CN"/>
          <w14:ligatures w14:val="none"/>
        </w:rPr>
        <w:t>）</w:t>
      </w:r>
    </w:p>
    <w:p w14:paraId="724E8C9E">
      <w:pPr>
        <w:pStyle w:val="4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3575050" cy="1021080"/>
            <wp:effectExtent l="0" t="0" r="6350" b="762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b="51770"/>
                    <a:stretch>
                      <a:fillRect/>
                    </a:stretch>
                  </pic:blipFill>
                  <pic:spPr>
                    <a:xfrm>
                      <a:off x="0" y="0"/>
                      <a:ext cx="3575050" cy="1021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F225F4">
      <w:pPr>
        <w:pStyle w:val="4"/>
        <w:keepNext w:val="0"/>
        <w:keepLines w:val="0"/>
        <w:widowControl/>
        <w:suppressLineNumbers w:val="0"/>
        <w:jc w:val="center"/>
      </w:pPr>
      <w:r>
        <w:drawing>
          <wp:inline distT="0" distB="0" distL="114300" distR="114300">
            <wp:extent cx="2793365" cy="880745"/>
            <wp:effectExtent l="0" t="0" r="6985" b="5080"/>
            <wp:docPr id="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b="31429"/>
                    <a:stretch>
                      <a:fillRect/>
                    </a:stretch>
                  </pic:blipFill>
                  <pic:spPr>
                    <a:xfrm>
                      <a:off x="0" y="0"/>
                      <a:ext cx="2793365" cy="8807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289B83">
      <w:pPr>
        <w:spacing w:line="300" w:lineRule="auto"/>
        <w:jc w:val="center"/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drawing>
          <wp:inline distT="0" distB="0" distL="114300" distR="114300">
            <wp:extent cx="4035425" cy="890905"/>
            <wp:effectExtent l="0" t="0" r="3175" b="4445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b="50858"/>
                    <a:stretch>
                      <a:fillRect/>
                    </a:stretch>
                  </pic:blipFill>
                  <pic:spPr>
                    <a:xfrm>
                      <a:off x="0" y="0"/>
                      <a:ext cx="4035425" cy="890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DC804F">
      <w:pPr>
        <w:spacing w:line="48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</w:t>
      </w:r>
      <w:r>
        <w:rPr>
          <w:rFonts w:ascii="Times New Roman" w:hAnsi="Times New Roman" w:eastAsia="宋体" w:cs="Times New Roman"/>
          <w:b/>
          <w:bCs/>
          <w:szCs w:val="24"/>
          <w14:ligatures w14:val="none"/>
        </w:rPr>
        <w:t>3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 xml:space="preserve"> 对原文计算可复现性进行评估</w:t>
      </w:r>
    </w:p>
    <w:p w14:paraId="35DC8050">
      <w:pPr>
        <w:spacing w:line="48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3.3.1 使用与原文献相同方法</w:t>
      </w:r>
    </w:p>
    <w:tbl>
      <w:tblPr>
        <w:tblStyle w:val="5"/>
        <w:tblW w:w="5607" w:type="dxa"/>
        <w:jc w:val="center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FCFCFC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6"/>
        <w:gridCol w:w="726"/>
        <w:gridCol w:w="726"/>
        <w:gridCol w:w="606"/>
        <w:gridCol w:w="1299"/>
        <w:gridCol w:w="924"/>
      </w:tblGrid>
      <w:tr w14:paraId="0A9B4EF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FCFCFC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3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777ADD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指标名称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24FC615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原文回归系数 b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3C6371C8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本次复现回归系数 b</w:t>
            </w:r>
          </w:p>
        </w:tc>
        <w:tc>
          <w:tcPr>
            <w:tcW w:w="6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144CD5F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系数差值</w:t>
            </w:r>
          </w:p>
        </w:tc>
        <w:tc>
          <w:tcPr>
            <w:tcW w:w="12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23F08C5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原文贝叶斯因子 BF</w:t>
            </w:r>
          </w:p>
        </w:tc>
        <w:tc>
          <w:tcPr>
            <w:tcW w:w="9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469BBE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本次复现贝叶斯因子 BF</w:t>
            </w:r>
          </w:p>
        </w:tc>
      </w:tr>
      <w:tr w14:paraId="6CD1B4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39290F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Demand（任务负荷感）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16FDF9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2.06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3D60BE0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1.71</w:t>
            </w:r>
          </w:p>
        </w:tc>
        <w:tc>
          <w:tcPr>
            <w:tcW w:w="6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5D09F7C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-0.35</w:t>
            </w:r>
          </w:p>
        </w:tc>
        <w:tc>
          <w:tcPr>
            <w:tcW w:w="12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76E70F9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&gt;500</w:t>
            </w:r>
          </w:p>
        </w:tc>
        <w:tc>
          <w:tcPr>
            <w:tcW w:w="9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5E2170E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&gt;500</w:t>
            </w:r>
          </w:p>
        </w:tc>
      </w:tr>
      <w:tr w14:paraId="66F6ABB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7EA13D8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Effort（付出努力感）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240A322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1.99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383115B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1.79</w:t>
            </w:r>
          </w:p>
        </w:tc>
        <w:tc>
          <w:tcPr>
            <w:tcW w:w="6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2BEFE5A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-0.20</w:t>
            </w:r>
          </w:p>
        </w:tc>
        <w:tc>
          <w:tcPr>
            <w:tcW w:w="12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460BF2A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&gt;500</w:t>
            </w:r>
          </w:p>
        </w:tc>
        <w:tc>
          <w:tcPr>
            <w:tcW w:w="9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01D3F25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&gt;500</w:t>
            </w:r>
          </w:p>
        </w:tc>
      </w:tr>
      <w:tr w14:paraId="3F1221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7544C7F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Frustration（挫败感）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1EFB68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1.48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4AF195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1.56</w:t>
            </w:r>
          </w:p>
        </w:tc>
        <w:tc>
          <w:tcPr>
            <w:tcW w:w="6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65B866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+0.08</w:t>
            </w:r>
          </w:p>
        </w:tc>
        <w:tc>
          <w:tcPr>
            <w:tcW w:w="12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1A0564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&gt;500</w:t>
            </w:r>
          </w:p>
        </w:tc>
        <w:tc>
          <w:tcPr>
            <w:tcW w:w="9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5C8F3E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&gt;500</w:t>
            </w:r>
          </w:p>
        </w:tc>
      </w:tr>
      <w:tr w14:paraId="0CA5CA3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1CB6C3C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Boredom（无聊感）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288BCF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0.74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4DCA65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0.75</w:t>
            </w:r>
          </w:p>
        </w:tc>
        <w:tc>
          <w:tcPr>
            <w:tcW w:w="6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6A87A00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+0.01</w:t>
            </w:r>
          </w:p>
        </w:tc>
        <w:tc>
          <w:tcPr>
            <w:tcW w:w="12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1325C2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&gt;500</w:t>
            </w:r>
          </w:p>
        </w:tc>
        <w:tc>
          <w:tcPr>
            <w:tcW w:w="9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593980C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&gt;500</w:t>
            </w:r>
          </w:p>
        </w:tc>
      </w:tr>
      <w:tr w14:paraId="3AE7345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6994B77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Fatigue（疲惫感）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683EC69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1.98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697ED94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1.87</w:t>
            </w:r>
          </w:p>
        </w:tc>
        <w:tc>
          <w:tcPr>
            <w:tcW w:w="6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5D323B6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-0.11</w:t>
            </w:r>
          </w:p>
        </w:tc>
        <w:tc>
          <w:tcPr>
            <w:tcW w:w="12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714AF7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&gt;500</w:t>
            </w:r>
          </w:p>
        </w:tc>
        <w:tc>
          <w:tcPr>
            <w:tcW w:w="9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34D9BFD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&gt;500</w:t>
            </w:r>
          </w:p>
        </w:tc>
      </w:tr>
      <w:tr w14:paraId="01355EA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549AC85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Boundary a（决策边界）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250DA4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-0.006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3F8070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-0.006</w:t>
            </w:r>
          </w:p>
        </w:tc>
        <w:tc>
          <w:tcPr>
            <w:tcW w:w="6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0D4A817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0.00</w:t>
            </w:r>
          </w:p>
        </w:tc>
        <w:tc>
          <w:tcPr>
            <w:tcW w:w="12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4B99C5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0.60</w:t>
            </w:r>
          </w:p>
        </w:tc>
        <w:tc>
          <w:tcPr>
            <w:tcW w:w="9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79471D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0.14</w:t>
            </w:r>
          </w:p>
        </w:tc>
      </w:tr>
      <w:tr w14:paraId="04164D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3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253D3F0C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="宋体" w:hAnsi="宋体" w:eastAsia="宋体" w:cs="宋体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ascii="宋体" w:hAnsi="宋体" w:eastAsia="宋体" w:cs="宋体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Drift v（漂移速率）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34B556C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-0.003</w:t>
            </w:r>
          </w:p>
        </w:tc>
        <w:tc>
          <w:tcPr>
            <w:tcW w:w="72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4EBD9B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-0.003</w:t>
            </w:r>
          </w:p>
        </w:tc>
        <w:tc>
          <w:tcPr>
            <w:tcW w:w="606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6E6770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0.00</w:t>
            </w:r>
          </w:p>
        </w:tc>
        <w:tc>
          <w:tcPr>
            <w:tcW w:w="1299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2C9CF8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0.07</w:t>
            </w:r>
          </w:p>
        </w:tc>
        <w:tc>
          <w:tcPr>
            <w:tcW w:w="924" w:type="dxa"/>
            <w:tcBorders>
              <w:top w:val="single" w:color="auto" w:sz="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FCFCFC"/>
            <w:vAlign w:val="center"/>
          </w:tcPr>
          <w:p w14:paraId="1B0BA87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171717"/>
                <w:spacing w:val="0"/>
                <w:sz w:val="13"/>
                <w:szCs w:val="13"/>
              </w:rPr>
            </w:pPr>
            <w:r>
              <w:rPr>
                <w:rFonts w:hint="default" w:ascii="Times New Roman" w:hAnsi="Times New Roman" w:eastAsia="宋体" w:cs="Times New Roman"/>
                <w:kern w:val="0"/>
                <w:sz w:val="13"/>
                <w:szCs w:val="13"/>
                <w:lang w:val="en-US" w:eastAsia="zh-CN" w:bidi="ar"/>
                <w14:ligatures w14:val="standardContextual"/>
              </w:rPr>
              <w:t>0.02</w:t>
            </w:r>
          </w:p>
        </w:tc>
      </w:tr>
    </w:tbl>
    <w:p w14:paraId="050364AD">
      <w:pPr>
        <w:spacing w:line="300" w:lineRule="auto"/>
        <w:jc w:val="left"/>
        <w:rPr>
          <w:rFonts w:hint="eastAsia" w:ascii="Times New Roman" w:hAnsi="Times New Roman" w:eastAsia="宋体" w:cs="Times New Roman"/>
          <w:szCs w:val="24"/>
          <w14:ligatures w14:val="none"/>
        </w:rPr>
      </w:pPr>
    </w:p>
    <w:p w14:paraId="2C845BA8">
      <w:pPr>
        <w:spacing w:line="300" w:lineRule="auto"/>
        <w:jc w:val="center"/>
        <w:rPr>
          <w:rFonts w:hint="default" w:ascii="Times New Roman" w:hAnsi="Times New Roman" w:eastAsia="宋体" w:cs="Times New Roman"/>
          <w:b/>
          <w:bCs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:lang w:val="en-US" w:eastAsia="zh-CN"/>
          <w14:ligatures w14:val="none"/>
        </w:rPr>
        <w:t>Stoop ACC</w:t>
      </w:r>
    </w:p>
    <w:p w14:paraId="4A520819">
      <w:pPr>
        <w:spacing w:line="300" w:lineRule="auto"/>
        <w:jc w:val="center"/>
      </w:pPr>
      <w:r>
        <w:drawing>
          <wp:inline distT="0" distB="0" distL="114300" distR="114300">
            <wp:extent cx="5401310" cy="915035"/>
            <wp:effectExtent l="0" t="0" r="8890" b="88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91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BF5BF">
      <w:pPr>
        <w:spacing w:line="300" w:lineRule="auto"/>
        <w:jc w:val="center"/>
        <w:rPr>
          <w:rFonts w:hint="default" w:ascii="Times New Roman" w:hAnsi="Times New Roman" w:eastAsia="宋体" w:cs="Times New Roman"/>
          <w:b/>
          <w:bCs/>
          <w:szCs w:val="24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:lang w:val="en-US" w:eastAsia="zh-CN"/>
          <w14:ligatures w14:val="none"/>
        </w:rPr>
        <w:t>Stroop RT</w:t>
      </w:r>
    </w:p>
    <w:p w14:paraId="0E188585">
      <w:pPr>
        <w:spacing w:line="300" w:lineRule="auto"/>
        <w:jc w:val="center"/>
      </w:pPr>
      <w:r>
        <w:drawing>
          <wp:inline distT="0" distB="0" distL="114300" distR="114300">
            <wp:extent cx="5963285" cy="960755"/>
            <wp:effectExtent l="0" t="0" r="8890" b="127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63285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9ACF6">
      <w:pPr>
        <w:spacing w:line="300" w:lineRule="auto"/>
        <w:jc w:val="center"/>
      </w:pPr>
    </w:p>
    <w:p w14:paraId="35DC7E72">
      <w:pPr>
        <w:spacing w:line="300" w:lineRule="auto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>结果的计算可复现性的评估表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  <w:gridCol w:w="1185"/>
        <w:gridCol w:w="1185"/>
      </w:tblGrid>
      <w:tr w14:paraId="35DC7E7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restart"/>
            <w:tcBorders>
              <w:top w:val="single" w:color="auto" w:sz="12" w:space="0"/>
            </w:tcBorders>
            <w:vAlign w:val="center"/>
          </w:tcPr>
          <w:p w14:paraId="35DC7E73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结果的可复现性</w:t>
            </w:r>
          </w:p>
        </w:tc>
        <w:tc>
          <w:tcPr>
            <w:tcW w:w="2370" w:type="dxa"/>
            <w:gridSpan w:val="2"/>
            <w:tcBorders>
              <w:top w:val="single" w:color="auto" w:sz="12" w:space="0"/>
            </w:tcBorders>
          </w:tcPr>
          <w:p w14:paraId="35DC7E74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数量及占比</w:t>
            </w:r>
          </w:p>
        </w:tc>
      </w:tr>
      <w:tr w14:paraId="35DC7E7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continue"/>
            <w:tcBorders>
              <w:bottom w:val="single" w:color="auto" w:sz="4" w:space="0"/>
            </w:tcBorders>
          </w:tcPr>
          <w:p w14:paraId="35DC7E76">
            <w:pPr>
              <w:spacing w:line="360" w:lineRule="auto"/>
              <w:ind w:firstLine="360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E77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 xml:space="preserve"> *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7E78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%</w:t>
            </w:r>
          </w:p>
        </w:tc>
      </w:tr>
      <w:tr w14:paraId="35DC7E7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3668" w:type="dxa"/>
            <w:tcBorders>
              <w:top w:val="single" w:color="auto" w:sz="4" w:space="0"/>
              <w:bottom w:val="nil"/>
            </w:tcBorders>
            <w:vAlign w:val="center"/>
          </w:tcPr>
          <w:p w14:paraId="35DC7E7A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完全一致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= 0%)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7E7B">
            <w:pPr>
              <w:spacing w:line="360" w:lineRule="auto"/>
              <w:ind w:firstLine="36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14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7E7C">
            <w:pPr>
              <w:spacing w:line="360" w:lineRule="auto"/>
              <w:ind w:firstLine="36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43.75</w:t>
            </w:r>
          </w:p>
        </w:tc>
      </w:tr>
      <w:tr w14:paraId="35DC7E81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nil"/>
            </w:tcBorders>
            <w:vAlign w:val="center"/>
          </w:tcPr>
          <w:p w14:paraId="35DC7E7E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偏差较小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(0% &lt; 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&lt; 10%)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35DC7E7F">
            <w:pPr>
              <w:spacing w:line="360" w:lineRule="auto"/>
              <w:ind w:firstLine="36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1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35DC7E80">
            <w:pPr>
              <w:spacing w:line="360" w:lineRule="auto"/>
              <w:ind w:firstLine="36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3.125</w:t>
            </w:r>
          </w:p>
        </w:tc>
      </w:tr>
      <w:tr w14:paraId="35DC7E85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nil"/>
            </w:tcBorders>
            <w:vAlign w:val="center"/>
          </w:tcPr>
          <w:p w14:paraId="35DC7E82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偏差较大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>(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δ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</w:t>
            </w:r>
            <w:r>
              <w:rPr>
                <w:rFonts w:hint="eastAsia" w:ascii="Malgun Gothic" w:hAnsi="Malgun Gothic" w:eastAsia="宋体" w:cs="Malgun Gothic"/>
                <w:sz w:val="18"/>
                <w:szCs w:val="18"/>
                <w14:ligatures w14:val="none"/>
              </w:rPr>
              <w:t>＞</w:t>
            </w:r>
            <w:r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  <w:t xml:space="preserve"> 10%</w:t>
            </w: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35DC7E83">
            <w:pPr>
              <w:spacing w:line="360" w:lineRule="auto"/>
              <w:ind w:firstLine="36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9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35DC7E84">
            <w:pPr>
              <w:spacing w:line="360" w:lineRule="auto"/>
              <w:ind w:firstLine="36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28.125</w:t>
            </w:r>
          </w:p>
        </w:tc>
      </w:tr>
      <w:tr w14:paraId="35DC7E8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nil"/>
            </w:tcBorders>
            <w:vAlign w:val="center"/>
          </w:tcPr>
          <w:p w14:paraId="35DC7E86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因舍入导致的偏差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35DC7E87">
            <w:pPr>
              <w:spacing w:line="360" w:lineRule="auto"/>
              <w:ind w:firstLine="36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6</w:t>
            </w:r>
          </w:p>
        </w:tc>
        <w:tc>
          <w:tcPr>
            <w:tcW w:w="1185" w:type="dxa"/>
            <w:tcBorders>
              <w:top w:val="nil"/>
              <w:bottom w:val="nil"/>
            </w:tcBorders>
            <w:vAlign w:val="center"/>
          </w:tcPr>
          <w:p w14:paraId="35DC7E88">
            <w:pPr>
              <w:spacing w:line="360" w:lineRule="auto"/>
              <w:ind w:firstLine="36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18.75</w:t>
            </w:r>
          </w:p>
        </w:tc>
      </w:tr>
      <w:tr w14:paraId="35DC7E8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single" w:color="auto" w:sz="12" w:space="0"/>
            </w:tcBorders>
            <w:vAlign w:val="center"/>
          </w:tcPr>
          <w:p w14:paraId="35DC7E8A">
            <w:pPr>
              <w:spacing w:line="360" w:lineRule="auto"/>
              <w:ind w:firstLine="360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无法进行可重复检验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7E8B">
            <w:pPr>
              <w:spacing w:line="360" w:lineRule="auto"/>
              <w:ind w:firstLine="36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32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7E8C">
            <w:pPr>
              <w:spacing w:line="360" w:lineRule="auto"/>
              <w:ind w:firstLine="36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100</w:t>
            </w:r>
          </w:p>
        </w:tc>
      </w:tr>
    </w:tbl>
    <w:p w14:paraId="0AF6ACE0">
      <w:pPr>
        <w:spacing w:line="300" w:lineRule="auto"/>
        <w:jc w:val="both"/>
        <w:rPr>
          <w:rFonts w:hint="eastAsia"/>
        </w:rPr>
      </w:pPr>
    </w:p>
    <w:p w14:paraId="35DC806B">
      <w:pPr>
        <w:spacing w:line="300" w:lineRule="auto"/>
        <w:ind w:firstLine="361"/>
        <w:jc w:val="center"/>
        <w:rPr>
          <w:rFonts w:ascii="Times New Roman" w:hAnsi="Times New Roman" w:eastAsia="黑体" w:cs="Times New Roman"/>
          <w:b/>
          <w:bCs/>
          <w:sz w:val="18"/>
          <w:szCs w:val="18"/>
          <w14:ligatures w14:val="none"/>
        </w:rPr>
      </w:pPr>
      <w:r>
        <w:rPr>
          <w:rFonts w:hint="eastAsia" w:ascii="Times New Roman" w:hAnsi="Times New Roman" w:eastAsia="黑体" w:cs="Times New Roman"/>
          <w:b/>
          <w:bCs/>
          <w:sz w:val="18"/>
          <w:szCs w:val="18"/>
          <w14:ligatures w14:val="none"/>
        </w:rPr>
        <w:t xml:space="preserve"> 推论的一致性的评估表(原分析方法)</w:t>
      </w:r>
    </w:p>
    <w:tbl>
      <w:tblPr>
        <w:tblStyle w:val="6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68"/>
        <w:gridCol w:w="1185"/>
        <w:gridCol w:w="1185"/>
      </w:tblGrid>
      <w:tr w14:paraId="35DC806E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restart"/>
            <w:tcBorders>
              <w:top w:val="single" w:color="auto" w:sz="12" w:space="0"/>
            </w:tcBorders>
            <w:vAlign w:val="center"/>
          </w:tcPr>
          <w:p w14:paraId="35DC806C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推论的一致性</w:t>
            </w:r>
          </w:p>
        </w:tc>
        <w:tc>
          <w:tcPr>
            <w:tcW w:w="2370" w:type="dxa"/>
            <w:gridSpan w:val="2"/>
            <w:tcBorders>
              <w:top w:val="single" w:color="auto" w:sz="12" w:space="0"/>
            </w:tcBorders>
          </w:tcPr>
          <w:p w14:paraId="35DC806D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数量及占比</w:t>
            </w:r>
          </w:p>
        </w:tc>
      </w:tr>
      <w:tr w14:paraId="35DC8072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668" w:type="dxa"/>
            <w:vMerge w:val="continue"/>
            <w:tcBorders>
              <w:bottom w:val="single" w:color="auto" w:sz="4" w:space="0"/>
            </w:tcBorders>
          </w:tcPr>
          <w:p w14:paraId="35DC806F">
            <w:pPr>
              <w:spacing w:line="360" w:lineRule="auto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8070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N</w:t>
            </w:r>
            <w:r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 xml:space="preserve"> *</w:t>
            </w:r>
          </w:p>
        </w:tc>
        <w:tc>
          <w:tcPr>
            <w:tcW w:w="1185" w:type="dxa"/>
            <w:tcBorders>
              <w:bottom w:val="single" w:color="auto" w:sz="4" w:space="0"/>
            </w:tcBorders>
          </w:tcPr>
          <w:p w14:paraId="35DC8071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i/>
                <w:iCs/>
                <w:sz w:val="18"/>
                <w:szCs w:val="18"/>
                <w14:ligatures w14:val="none"/>
              </w:rPr>
              <w:t>%</w:t>
            </w:r>
          </w:p>
        </w:tc>
      </w:tr>
      <w:tr w14:paraId="35DC807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3668" w:type="dxa"/>
            <w:tcBorders>
              <w:top w:val="single" w:color="auto" w:sz="4" w:space="0"/>
              <w:bottom w:val="nil"/>
            </w:tcBorders>
            <w:vAlign w:val="center"/>
          </w:tcPr>
          <w:p w14:paraId="35DC8073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一致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8074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32</w:t>
            </w:r>
          </w:p>
        </w:tc>
        <w:tc>
          <w:tcPr>
            <w:tcW w:w="1185" w:type="dxa"/>
            <w:tcBorders>
              <w:top w:val="single" w:color="auto" w:sz="4" w:space="0"/>
              <w:bottom w:val="nil"/>
            </w:tcBorders>
            <w:vAlign w:val="center"/>
          </w:tcPr>
          <w:p w14:paraId="35DC8075">
            <w:pPr>
              <w:spacing w:line="360" w:lineRule="auto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100</w:t>
            </w:r>
          </w:p>
        </w:tc>
      </w:tr>
      <w:tr w14:paraId="35DC807A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  <w:jc w:val="center"/>
        </w:trPr>
        <w:tc>
          <w:tcPr>
            <w:tcW w:w="3668" w:type="dxa"/>
            <w:tcBorders>
              <w:top w:val="nil"/>
              <w:bottom w:val="single" w:color="auto" w:sz="12" w:space="0"/>
            </w:tcBorders>
            <w:vAlign w:val="center"/>
          </w:tcPr>
          <w:p w14:paraId="35DC8077">
            <w:pPr>
              <w:spacing w:line="360" w:lineRule="auto"/>
              <w:jc w:val="center"/>
              <w:rPr>
                <w:rFonts w:ascii="Times New Roman" w:hAnsi="Times New Roman" w:eastAsia="宋体" w:cs="Times New Roman"/>
                <w:sz w:val="18"/>
                <w:szCs w:val="18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14:ligatures w14:val="none"/>
              </w:rPr>
              <w:t>不一致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8078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0</w:t>
            </w:r>
          </w:p>
        </w:tc>
        <w:tc>
          <w:tcPr>
            <w:tcW w:w="1185" w:type="dxa"/>
            <w:tcBorders>
              <w:top w:val="nil"/>
              <w:bottom w:val="single" w:color="auto" w:sz="12" w:space="0"/>
            </w:tcBorders>
            <w:vAlign w:val="center"/>
          </w:tcPr>
          <w:p w14:paraId="35DC8079">
            <w:pPr>
              <w:spacing w:line="360" w:lineRule="auto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  <w14:ligatures w14:val="none"/>
              </w:rPr>
              <w:t>0</w:t>
            </w:r>
          </w:p>
        </w:tc>
      </w:tr>
    </w:tbl>
    <w:p w14:paraId="35DC807C">
      <w:pPr>
        <w:spacing w:line="300" w:lineRule="auto"/>
        <w:rPr>
          <w:rFonts w:ascii="Times New Roman" w:hAnsi="Times New Roman" w:eastAsia="宋体" w:cs="Times New Roman"/>
          <w:szCs w:val="24"/>
          <w14:ligatures w14:val="none"/>
        </w:rPr>
      </w:pPr>
    </w:p>
    <w:p w14:paraId="35DC8092">
      <w:pPr>
        <w:spacing w:line="300" w:lineRule="auto"/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</w:pPr>
      <w:r>
        <w:rPr>
          <w:rFonts w:ascii="Times New Roman" w:hAnsi="Times New Roman" w:eastAsia="宋体" w:cs="Times New Roman"/>
          <w:b/>
          <w:bCs/>
          <w:sz w:val="28"/>
          <w:szCs w:val="28"/>
          <w14:ligatures w14:val="none"/>
        </w:rPr>
        <w:t xml:space="preserve">4  </w:t>
      </w:r>
      <w:r>
        <w:rPr>
          <w:rFonts w:hint="eastAsia" w:ascii="Times New Roman" w:hAnsi="Times New Roman" w:eastAsia="宋体" w:cs="Times New Roman"/>
          <w:b/>
          <w:bCs/>
          <w:sz w:val="28"/>
          <w:szCs w:val="28"/>
          <w14:ligatures w14:val="none"/>
        </w:rPr>
        <w:t>讨论</w:t>
      </w:r>
    </w:p>
    <w:p w14:paraId="35DC8093">
      <w:pPr>
        <w:spacing w:line="300" w:lineRule="auto"/>
        <w:rPr>
          <w:rFonts w:ascii="Times New Roman" w:hAnsi="Times New Roman" w:eastAsia="宋体" w:cs="Times New Roman"/>
          <w:b/>
          <w:bCs/>
          <w:szCs w:val="24"/>
          <w14:ligatures w14:val="none"/>
        </w:rPr>
      </w:pP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计算可复现性检验</w:t>
      </w:r>
      <w:r>
        <w:rPr>
          <w:rFonts w:hint="eastAsia" w:ascii="Times New Roman" w:hAnsi="Times New Roman" w:eastAsia="宋体" w:cs="Times New Roman"/>
          <w:b/>
          <w:bCs/>
          <w:szCs w:val="24"/>
          <w:lang w:val="en-US" w:eastAsia="zh-CN"/>
          <w14:ligatures w14:val="none"/>
        </w:rPr>
        <w:t>难度</w:t>
      </w:r>
      <w:r>
        <w:rPr>
          <w:rFonts w:hint="eastAsia" w:ascii="Times New Roman" w:hAnsi="Times New Roman" w:eastAsia="宋体" w:cs="Times New Roman"/>
          <w:b/>
          <w:bCs/>
          <w:szCs w:val="24"/>
          <w14:ligatures w14:val="none"/>
        </w:rPr>
        <w:t>分析</w:t>
      </w:r>
    </w:p>
    <w:p w14:paraId="4A65D952">
      <w:pPr>
        <w:spacing w:line="300" w:lineRule="auto"/>
        <w:ind w:firstLine="360"/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none"/>
        </w:rPr>
        <w:t>本研究基于该自我损耗开源数据集完成复现后发现，该文献整体可复现性存在两处显著难点，分别来自统计分析框架与文献报告规范两个层面。</w:t>
      </w:r>
    </w:p>
    <w:p w14:paraId="2EFD8B60">
      <w:pPr>
        <w:spacing w:line="300" w:lineRule="auto"/>
        <w:ind w:firstLine="360"/>
        <w:rPr>
          <w:rFonts w:hint="default" w:ascii="Times New Roman" w:hAnsi="Times New Roman" w:eastAsia="宋体" w:cs="Times New Roman"/>
          <w:sz w:val="18"/>
          <w:szCs w:val="18"/>
          <w:lang w:val="en-US" w:eastAsia="zh-CN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none"/>
        </w:rPr>
        <w:t>第一，原文先并没有进行描述统计，也并未提供描述统计的代码，因此我在AI的辅助下完成了描述性统计的代码撰写。另外虽然原文献提供了推断性统计的完整代码，但却是整合复现4个研究的代码，无法直接运用，因此我用opencode提取了作者的主要代码，调整了逻辑顺序。然后单独提取了研究4的数据，再把原代码中全部数据改成了单独的研究4的代码。</w:t>
      </w:r>
    </w:p>
    <w:p w14:paraId="4821A883">
      <w:pPr>
        <w:spacing w:line="300" w:lineRule="auto"/>
        <w:ind w:firstLine="360"/>
        <w:rPr>
          <w:rFonts w:hint="eastAsia"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none"/>
        </w:rPr>
        <w:t>第二，原文核心推断分析全部采用brms贝叶斯多层模型，该分析框架对本地运行环境要求极高，显著抬高复现门槛。Windows 系统下完整运行 MCMC 采样流程必须依赖 Rtools 编译工具链，若缺少 gcc 编译器，会持续弹出工具下载弹窗、采样进程静默卡死、渲染中途强制中断；同时原文代码统一设置refresh = 0静默采样模式，运行过程中无任何迭代进度输出，使用者无法区分程序是正常运算还是彻底卡死，调试与排错成本大幅提升。整套贝叶斯模型包含 13 组分层模型，每组 4 条马尔可夫链、2000 次迭代，完整采样渲染耗时可达一个小时以上，普通个人电脑极易出现内存过载、进程崩溃问题，极大增加完整复现的操作难度。</w:t>
      </w:r>
    </w:p>
    <w:p w14:paraId="1CEAC057">
      <w:pPr>
        <w:spacing w:line="300" w:lineRule="auto"/>
        <w:ind w:firstLine="360"/>
        <w:rPr>
          <w:rFonts w:hint="eastAsia"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none"/>
        </w:rPr>
        <w:t>第三，尽管文献公开了完整无缺失的原始试次级数据集，数据层面为复现提供了充足基础，但正文与补充材料均未单独披露 Study 4 各实验分组的描述统计均值与标准差。均值相对误差（PE）是量化复现匹配度的核心定量指标，其计算必须依托原文分组 M、SD 作为基准参照，现有公开内容缺少该类汇总数值，导致本次复现无法完成定量 PE 误差计算，仅能依靠效应正负方向、显著性结论做定性匹配评判，缺少统一、直观的数值标准衡量复现精度，降低了复现结果的量化对比完整度。</w:t>
      </w:r>
    </w:p>
    <w:p w14:paraId="0284AB73">
      <w:pPr>
        <w:spacing w:line="300" w:lineRule="auto"/>
        <w:ind w:firstLine="360"/>
        <w:rPr>
          <w:rFonts w:hint="eastAsia" w:ascii="Times New Roman" w:hAnsi="Times New Roman" w:eastAsia="宋体" w:cs="Times New Roman"/>
          <w:sz w:val="18"/>
          <w:szCs w:val="18"/>
          <w14:ligatures w14:val="none"/>
        </w:rPr>
      </w:pPr>
      <w:r>
        <w:rPr>
          <w:rFonts w:hint="eastAsia" w:ascii="Times New Roman" w:hAnsi="Times New Roman" w:eastAsia="宋体" w:cs="Times New Roman"/>
          <w:sz w:val="18"/>
          <w:szCs w:val="18"/>
          <w:lang w:val="en-US" w:eastAsia="zh-CN"/>
          <w14:ligatures w14:val="none"/>
        </w:rPr>
        <w:t>综合来看，该文献原始数据开放性较强，但贝叶斯建模的高环境门槛、描述统计汇总指标缺失两大问题共同提升了完整、标准化复现的难度；若后续研究者想要简化复现流程，可采用lme4频率派多层模型作为替代分析方案，规避编译环境限制，同时建议原文献补充各实验分组描述统计表格，完善可复现评价所需基准数据。</w:t>
      </w:r>
    </w:p>
    <w:p w14:paraId="1DC24330">
      <w:pPr>
        <w:rPr>
          <w:rFonts w:hint="eastAsia"/>
        </w:rPr>
      </w:pPr>
    </w:p>
    <w:p w14:paraId="2B6D4F9D">
      <w:pPr>
        <w:rPr>
          <w:rFonts w:hint="eastAsia"/>
        </w:rPr>
      </w:pPr>
    </w:p>
    <w:p w14:paraId="4E83834E">
      <w:pPr>
        <w:pStyle w:val="13"/>
        <w:ind w:left="720" w:hanging="720"/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ADDIN EN.REFLIST </w:instrText>
      </w:r>
      <w:r>
        <w:rPr>
          <w:rFonts w:hint="eastAsia"/>
        </w:rPr>
        <w:fldChar w:fldCharType="separate"/>
      </w:r>
      <w:r>
        <w:t xml:space="preserve">Lin, H., Saunders, B., Friese, M., Evans, N. J., &amp; Inzlicht, M. (2020). Strong Effort Manipulations Reduce Response Caution: A Preregistered Reinvention of the Ego-Depletion Paradigm. </w:t>
      </w:r>
      <w:r>
        <w:rPr>
          <w:i/>
        </w:rPr>
        <w:t>Psychological Science, 31</w:t>
      </w:r>
      <w:r>
        <w:t>(5), 531-547. doi:10.1177/0956797620904990</w:t>
      </w:r>
    </w:p>
    <w:p w14:paraId="4CB26019">
      <w:pPr>
        <w:rPr>
          <w:rFonts w:hint="eastAsia"/>
        </w:rPr>
      </w:pPr>
      <w:r>
        <w:rPr>
          <w:rFonts w:hint="eastAsia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lgun Gothic">
    <w:panose1 w:val="020B0503020000020004"/>
    <w:charset w:val="81"/>
    <w:family w:val="swiss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9ttvv0fxx522v6e2d0o5pew3fv9r2d9x5dpz&quot;&gt;内容分析2.1endnote&lt;record-ids&gt;&lt;item&gt;7&lt;/item&gt;&lt;/record-ids&gt;&lt;/item&gt;&lt;/Libraries&gt;"/>
  </w:docVars>
  <w:rsids>
    <w:rsidRoot w:val="4E8E76F8"/>
    <w:rsid w:val="00B765D7"/>
    <w:rsid w:val="00BA2810"/>
    <w:rsid w:val="00FE1C9E"/>
    <w:rsid w:val="18B3642C"/>
    <w:rsid w:val="1D1F4CC2"/>
    <w:rsid w:val="2C296B8C"/>
    <w:rsid w:val="2D8F379E"/>
    <w:rsid w:val="49417BEA"/>
    <w:rsid w:val="4E8E76F8"/>
    <w:rsid w:val="536E30D1"/>
    <w:rsid w:val="546D02ED"/>
    <w:rsid w:val="577861BC"/>
    <w:rsid w:val="7285263F"/>
    <w:rsid w:val="77AD1FE7"/>
    <w:rsid w:val="797535A9"/>
    <w:rsid w:val="7C385132"/>
    <w:rsid w:val="7C902C69"/>
    <w:rsid w:val="7D8D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宋体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Autospacing="1" w:afterAutospacing="1"/>
      <w:jc w:val="left"/>
      <w:outlineLvl w:val="1"/>
    </w:pPr>
    <w:rPr>
      <w:rFonts w:hint="eastAsia" w:ascii="宋体" w:hAnsi="宋体" w:eastAsia="宋体" w:cs="Times New Roman"/>
      <w:b/>
      <w:bCs/>
      <w:kern w:val="0"/>
      <w:sz w:val="36"/>
      <w:szCs w:val="36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paragraph" w:customStyle="1" w:styleId="11">
    <w:name w:val="EndNote Bibliography Title"/>
    <w:basedOn w:val="1"/>
    <w:link w:val="12"/>
    <w:qFormat/>
    <w:uiPriority w:val="0"/>
    <w:pPr>
      <w:jc w:val="center"/>
    </w:pPr>
    <w:rPr>
      <w:sz w:val="20"/>
    </w:rPr>
  </w:style>
  <w:style w:type="character" w:customStyle="1" w:styleId="12">
    <w:name w:val="EndNote Bibliography Title 字符"/>
    <w:basedOn w:val="7"/>
    <w:link w:val="11"/>
    <w:qFormat/>
    <w:uiPriority w:val="0"/>
    <w:rPr>
      <w:rFonts w:ascii="等线" w:hAnsi="等线" w:eastAsia="等线" w:cs="宋体"/>
      <w:kern w:val="2"/>
      <w:szCs w:val="22"/>
      <w14:ligatures w14:val="standardContextual"/>
    </w:rPr>
  </w:style>
  <w:style w:type="paragraph" w:customStyle="1" w:styleId="13">
    <w:name w:val="EndNote Bibliography"/>
    <w:basedOn w:val="1"/>
    <w:link w:val="14"/>
    <w:qFormat/>
    <w:uiPriority w:val="0"/>
    <w:rPr>
      <w:sz w:val="20"/>
    </w:rPr>
  </w:style>
  <w:style w:type="character" w:customStyle="1" w:styleId="14">
    <w:name w:val="EndNote Bibliography 字符"/>
    <w:basedOn w:val="7"/>
    <w:link w:val="13"/>
    <w:qFormat/>
    <w:uiPriority w:val="0"/>
    <w:rPr>
      <w:rFonts w:ascii="等线" w:hAnsi="等线" w:eastAsia="等线" w:cs="宋体"/>
      <w:kern w:val="2"/>
      <w:szCs w:val="22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3245</Words>
  <Characters>3820</Characters>
  <Lines>399</Lines>
  <Paragraphs>295</Paragraphs>
  <TotalTime>14</TotalTime>
  <ScaleCrop>false</ScaleCrop>
  <LinksUpToDate>false</LinksUpToDate>
  <CharactersWithSpaces>3967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2026-06-13T02:59:00Z</dcterms:created>
  <dc:creator>实木</dc:creator>
  <cp:lastModifiedBy>实木</cp:lastModifiedBy>
  <dcterms:modified xsi:type="dcterms:W3CDTF">2026-06-24T04:00:03Z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7B31D78F524A4369A7169BB8FA69078F_11</vt:lpwstr>
  </property>
  <property fmtid="{D5CDD505-2E9C-101B-9397-08002B2CF9AE}" pid="4" name="KSOTemplateDocerSaveRecord">
    <vt:lpwstr>eyJoZGlkIjoiNTUxZGM1NTk4OGVmNTA2OTkxODZjOThmMmZmZTdjZGUiLCJ1c2VySWQiOiIxMjMwMTI3Nzg5In0=</vt:lpwstr>
  </property>
</Properties>
</file>