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CRED-F001 · Infisical 集成适配器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CRED-F001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CRED-T511、CRED-T512、CRED-T007、CRED-T008、CRED-T009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wp/cred-f001</w:t>
        <w:br/>
        <w:t>cd backend/modules/credential</w:t>
        <w:br/>
        <w:t>mvn -B verify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目标：连接自建 Infisical 实例，项目/环境结构设计</w:t>
      </w:r>
    </w:p>
    <w:p>
      <w:pPr>
        <w:pStyle w:val="ListBullet"/>
      </w:pPr>
      <w:r>
        <w:t>目标：Matbox 后端统一通过这一层读写密钥，不直接裸调用 Infisical API。</w:t>
      </w:r>
    </w:p>
    <w:p>
      <w:pPr>
        <w:pStyle w:val="ListBullet"/>
      </w:pPr>
      <w:r>
        <w:t>依赖：无前置阻塞（Infisical 自身部署不依赖 Matbox 其他模块）。</w:t>
      </w:r>
    </w:p>
    <w:p>
      <w:pPr>
        <w:pStyle w:val="ListBullet"/>
      </w:pPr>
      <w:r>
        <w:t>验收标准：任何模块要读密钥，必须经过这一层；直接硬编码或裸调用视为违规，对应 F-DQ-007 架构守卫的检查项之一。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CRED-F001 Owner</w:t>
      </w:r>
    </w:p>
    <w:p>
      <w:r>
        <w:t>本功能的服务端实现</w:t>
      </w:r>
    </w:p>
    <w:p>
      <w:pPr>
        <w:pStyle w:val="Heading3"/>
      </w:pPr>
      <w:r>
        <w:t>Data/DB/Migration｜Applicable · CRED-F001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CRED-F001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CRED-T511</w:t>
            </w:r>
          </w:p>
        </w:tc>
        <w:tc>
          <w:tcPr>
            <w:tcW w:type="dxa" w:w="4320"/>
          </w:tcPr>
          <w:p>
            <w:r>
              <w:t>任何模块要读密钥，必须经过这一层</w:t>
            </w:r>
          </w:p>
        </w:tc>
      </w:tr>
      <w:tr>
        <w:tc>
          <w:tcPr>
            <w:tcW w:type="dxa" w:w="4320"/>
          </w:tcPr>
          <w:p>
            <w:r>
              <w:t>CRED-T512</w:t>
            </w:r>
          </w:p>
        </w:tc>
        <w:tc>
          <w:tcPr>
            <w:tcW w:type="dxa" w:w="4320"/>
          </w:tcPr>
          <w:p>
            <w:r>
              <w:t>直接硬编码或裸调用视为违规，对应 F-DQ-007 架构守卫的检查项之一</w:t>
            </w:r>
          </w:p>
        </w:tc>
      </w:tr>
      <w:tr>
        <w:tc>
          <w:tcPr>
            <w:tcW w:type="dxa" w:w="4320"/>
          </w:tcPr>
          <w:p>
            <w:r>
              <w:t>CRED-T007</w:t>
            </w:r>
          </w:p>
        </w:tc>
        <w:tc>
          <w:tcPr>
            <w:tcW w:type="dxa" w:w="4320"/>
          </w:tcPr>
          <w:p>
            <w:r>
              <w:t>Infisical实例不可用场景下的fail-closed测试——模拟PROVIDER_UNAVAILABLE，验证Grant签发/密钥读取均返回拒绝而非静默放行。</w:t>
            </w:r>
          </w:p>
        </w:tc>
      </w:tr>
      <w:tr>
        <w:tc>
          <w:tcPr>
            <w:tcW w:type="dxa" w:w="4320"/>
          </w:tcPr>
          <w:p>
            <w:r>
              <w:t>CRED-T008</w:t>
            </w:r>
          </w:p>
        </w:tc>
        <w:tc>
          <w:tcPr>
            <w:tcW w:type="dxa" w:w="4320"/>
          </w:tcPr>
          <w:p>
            <w:r>
              <w:t>在真实自托管测试环境、无Enterprise License Key的条件下，验证Dynamic Secrets创建接口与secretPath级条件权限配置的真实可用性，形成Stage 10前的书面证据。</w:t>
            </w:r>
          </w:p>
        </w:tc>
      </w:tr>
      <w:tr>
        <w:tc>
          <w:tcPr>
            <w:tcW w:type="dxa" w:w="4320"/>
          </w:tcPr>
          <w:p>
            <w:r>
              <w:t>CRED-T009</w:t>
            </w:r>
          </w:p>
        </w:tc>
        <w:tc>
          <w:tcPr>
            <w:tcW w:type="dxa" w:w="4320"/>
          </w:tcPr>
          <w:p>
            <w:r>
              <w:t>全新自托管Infisical安装 → 创建项目 → 创建密钥的完整链路回归测试，确认不命中"Missing Project KMS Key"已知问题。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credT511_说明()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credT511_describeWhatThisVerifies()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