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CRED-F005 · Token 生命周期与轮换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CRED-T551、CRED-T002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wp/cred-f005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目标：过期、轮换、撤销规则</w:t>
      </w:r>
    </w:p>
    <w:p>
      <w:pPr>
        <w:pStyle w:val="ListBullet"/>
      </w:pPr>
      <w:r>
        <w:t>目标：定义各类密钥的轮换周期（人类账号密码、AI Token、第三方API Key各自的策略）；Infisical 不支持的自动轮换（如数据库密码）需要额外脚本实现。</w:t>
      </w:r>
    </w:p>
    <w:p>
      <w:pPr>
        <w:pStyle w:val="ListBullet"/>
      </w:pPr>
      <w:r>
        <w:t>验收标准：轮换记录可追溯，轮换失败有告警，不能"改了但不知道"。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CRED-F005 Owner</w:t>
      </w:r>
    </w:p>
    <w:p>
      <w:r>
        <w:t>本功能的服务端实现</w:t>
      </w:r>
    </w:p>
    <w:p>
      <w:pPr>
        <w:pStyle w:val="Heading3"/>
      </w:pPr>
      <w:r>
        <w:t>Data/DB/Migration｜Applicable · CRED-F005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CRED-F005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CRED-T551</w:t>
            </w:r>
          </w:p>
        </w:tc>
        <w:tc>
          <w:tcPr>
            <w:tcW w:type="dxa" w:w="4320"/>
          </w:tcPr>
          <w:p>
            <w:r>
              <w:t>轮换记录可追溯，轮换失败有告警，不能"改了但不知道"</w:t>
            </w:r>
          </w:p>
        </w:tc>
      </w:tr>
      <w:tr>
        <w:tc>
          <w:tcPr>
            <w:tcW w:type="dxa" w:w="4320"/>
          </w:tcPr>
          <w:p>
            <w:r>
              <w:t>CRED-T002</w:t>
            </w:r>
          </w:p>
        </w:tc>
        <w:tc>
          <w:tcPr>
            <w:tcW w:type="dxa" w:w="4320"/>
          </w:tcPr>
          <w:p>
            <w:r>
              <w:t>同一AgentIdentity在Grant过期后，再次调用GET /cred/agent-grants/{grantId}必须返回EXPIRED状态且TENANT-F003鉴权判断为DENY。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credT551_说明()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credT551_describeWhatThisVerifies()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