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CRED-F004 · 运行时代理注入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CRED-T541、CRED-T001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wp/cred-f004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 员工调用外部系统时，密钥不经过 AI 员工本身，由中间层代理注入</w:t>
      </w:r>
    </w:p>
    <w:p>
      <w:pPr>
        <w:pStyle w:val="ListBullet"/>
      </w:pPr>
      <w:r>
        <w:t>目标：AI 员工的 Prompt、日志、生成的代码里，任何情况下都不出现真实密钥字符串；调用外部系统时由 Matbox 后端代为注入密钥，AI 员工只拿到调用结果。</w:t>
      </w:r>
    </w:p>
    <w:p>
      <w:pPr>
        <w:pStyle w:val="ListBullet"/>
      </w:pPr>
      <w:r>
        <w:t>验收标准：对 AI 员工的输出做扫描（复用 F-DQ-005 Betterleaks），0 泄露。这是不可降级 P0。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CRED-F004 Owner</w:t>
      </w:r>
    </w:p>
    <w:p>
      <w:r>
        <w:t>本功能的服务端实现</w:t>
      </w:r>
    </w:p>
    <w:p>
      <w:pPr>
        <w:pStyle w:val="Heading3"/>
      </w:pPr>
      <w:r>
        <w:t>Data/DB/Migration｜Applicable · CRED-F004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CRED-F004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CRED-T541</w:t>
            </w:r>
          </w:p>
        </w:tc>
        <w:tc>
          <w:tcPr>
            <w:tcW w:type="dxa" w:w="4320"/>
          </w:tcPr>
          <w:p>
            <w:r>
              <w:t>对 AI 员工的输出做扫描（复用 F-DQ-005 Betterleaks），0 泄露。这是不可降级 P0</w:t>
            </w:r>
          </w:p>
        </w:tc>
      </w:tr>
      <w:tr>
        <w:tc>
          <w:tcPr>
            <w:tcW w:type="dxa" w:w="4320"/>
          </w:tcPr>
          <w:p>
            <w:r>
              <w:t>CRED-T001</w:t>
            </w:r>
          </w:p>
        </w:tc>
        <w:tc>
          <w:tcPr>
            <w:tcW w:type="dxa" w:w="4320"/>
          </w:tcPr>
          <w:p>
            <w:r>
              <w:t>AI员工输出内容扫描测试（复用F-DQ-005 Betterleaks），验证CRED-F004代理注入后，Prompt/日志/生成代码中0次出现真实密钥字符串。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credT541_说明()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credT541_describeWhatThisVerifies()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