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F-DQ-004 · OpenGrep 适配器 + 自有规则包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F-DQ-004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17:35（仓库 33a8493）·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F-DQ-004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OpenGrep 适配器 + 自有规则包（OpenGrep SAST Adapter + Matbox RulePack）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AppSec/Quality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wp/F-DQ-004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wp/f-dq-004，从下面那个基线切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F-DQ-004：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目标：提供 SAST、差异扫描和 Matbox 自定义静态/语义规则；把核心错误与 findings 分离。</w:t>
      </w:r>
    </w:p>
    <w:p>
      <w:r>
        <w:t>In Scope：rule pack、target scope、baseline/diff、JSON/SARIF、strict/error mapping、timeout。</w:t>
      </w:r>
    </w:p>
    <w:p>
      <w:r>
        <w:t>Out of Scope：不把 OpenGrep 当唯一 security truth；不在无证据时把所有 warning 设为 Hard Gate。</w:t>
      </w:r>
    </w:p>
    <w:p>
      <w:r>
        <w:t>入口 / Route：CI runner + rule repository</w:t>
      </w:r>
    </w:p>
    <w:p>
      <w:r>
        <w:t>依赖：F-DQ-001/002；RC5 Base Commit/Protected Scope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backend/modules/dev-quality/src/main/java/com/matbox/devquality/adapters/opengrep/</w:t>
      </w:r>
    </w:p>
    <w:p>
      <w:pPr>
        <w:pStyle w:val="ListBullet"/>
      </w:pPr>
      <w:r>
        <w:t>backend/modules/dev-quality/src/main/java/com/matbox/devquality/adapters/opengrep/rulepacks/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pPr>
        <w:pStyle w:val="Heading3"/>
      </w:pPr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pPr>
        <w:pStyle w:val="Heading3"/>
      </w:pPr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@Tag("DQ-T002")                       // 方便单独跑：mvn test -Dgroups=DQ-T002</w:t>
        <w:br/>
        <w:t>void dqT002_describeWhatThisCriterionVerifies()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可以有多个测试方法（dqT002_a、dqT002_b…），但不能一条都没有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opengrep/             # F-DQ-004（含 rulepacks/ 子目录，Matbox自定义规则）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BE-04 OpenGrepAdapter + RulePack仓库管理（F-DQ-004）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第9节表18；七类施工面来自第10节；验收标准来自第13节（归属为推导）；可写路径来自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