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F-DQ-012 · AI 代码审查补充证据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F-DQ-012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19:32（仓库 73c96cb）·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F-DQ-012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AI 代码审查补充证据（AI Code Review Supplemental Evidence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OPTIONAL_B_PROVIDER · Stage10 可按成本/区域启用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NONE for P0 core；启用时绑定 provider policy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WP-DQ-09（同批：F012）—— AI Review optional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Source Review Owner；Implementer: UNASSIGNED_STAGE10；Source Reviewer: independent human/AI policy；Acceptance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wp/F-DQ-012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目标：接 Qodo/CodeRabbit/其他 AI Review 作为补充 Review Evidence，发现跨文件逻辑/可维护性问题，但不作为唯一 Hard Gate。检查范围明确包含语义级代码重复检测（同功能不同写法的 Type-4 semantic clone，SonarQube 的文本级查重抱不住，2026-09-04补，架构原则第62条）。</w:t>
      </w:r>
    </w:p>
    <w:p>
      <w:r>
        <w:t>In Scope：provider adapter、comment/findings normalization、privacy/region policy、model/version evidence。</w:t>
      </w:r>
    </w:p>
    <w:p>
      <w:r>
        <w:t>Out of Scope：AI reviewer 不批准自己的代码；不因 AI 说“LGTM”绕过 deterministic/security tests。</w:t>
      </w:r>
    </w:p>
    <w:p>
      <w:r>
        <w:t>入口 / Route：PR review + /ops/dev-quality/findings</w:t>
      </w:r>
    </w:p>
    <w:p>
      <w:r>
        <w:t>依赖：Provider Router/F-CRED/F-COST/F-OBS；F-DQ-002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backend/modules/dev-quality/src/main/java/com/matbox/devquality/adapters/ai-review/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SCM FE</w:t>
      </w:r>
    </w:p>
    <w:p>
      <w:pPr>
        <w:pStyle w:val="ListBullet"/>
      </w:pPr>
      <w:r>
        <w:t>Allowed / N/A：PR comments/summary/link</w:t>
      </w:r>
    </w:p>
    <w:p>
      <w:pPr>
        <w:pStyle w:val="ListBullet"/>
      </w:pPr>
      <w:r>
        <w:t>Protected：不展示未脱敏 private source 到非授权用户</w:t>
      </w:r>
    </w:p>
    <w:p>
      <w:pPr>
        <w:pStyle w:val="ListBullet"/>
      </w:pPr>
      <w:r>
        <w:t>Contract / Dependency：review evidence UI</w:t>
      </w:r>
    </w:p>
    <w:p>
      <w:pPr>
        <w:pStyle w:val="ListBullet"/>
      </w:pPr>
      <w:r>
        <w:t>Acceptance / Test / Evidence：AI advice 与 hard finding 明确区分。</w:t>
      </w:r>
    </w:p>
    <w:p>
      <w:pPr>
        <w:pStyle w:val="Heading3"/>
      </w:pPr>
      <w:r>
        <w:t>Backend/API/Service｜Applicable · AIReviewAdapter</w:t>
      </w:r>
    </w:p>
    <w:p>
      <w:pPr>
        <w:pStyle w:val="ListBullet"/>
      </w:pPr>
      <w:r>
        <w:t>Allowed / N/A：submit diff/context/read result</w:t>
      </w:r>
    </w:p>
    <w:p>
      <w:pPr>
        <w:pStyle w:val="ListBullet"/>
      </w:pPr>
      <w:r>
        <w:t>Protected：禁止直接 write/merge/waive</w:t>
      </w:r>
    </w:p>
    <w:p>
      <w:pPr>
        <w:pStyle w:val="ListBullet"/>
      </w:pPr>
      <w:r>
        <w:t>Contract / Dependency：AIReviewRequest/Result</w:t>
      </w:r>
    </w:p>
    <w:p>
      <w:pPr>
        <w:pStyle w:val="ListBullet"/>
      </w:pPr>
      <w:r>
        <w:t>Acceptance / Test / Evidence：provider error 不影响 deterministic gate 的真实性，但 required AI Review 配置时标 INCOMPLETE。</w:t>
      </w:r>
    </w:p>
    <w:p>
      <w:pPr>
        <w:pStyle w:val="ListBullet"/>
      </w:pPr>
      <w:r>
        <w:t>Transaction / Idempotency / Retry / Recovery：AI Review Provider 调用不在 Matbox 业务事务内；request 绑定 repo/commit/diff/model/version 并使用 provider idempotency（如支持）或本地 request key 去重；限流/网络错误可有限重试；超时/裁剪/partial response 标 INCOMPLETE，不得用旧“LGTM”恢复为 PASS。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N/A：只存 EvidenceRef/normalized finding</w:t>
      </w:r>
    </w:p>
    <w:p>
      <w:pPr>
        <w:pStyle w:val="ListBullet"/>
      </w:pPr>
      <w:r>
        <w:t>Protected：provider conversation 不作 SoT</w:t>
      </w:r>
    </w:p>
    <w:p>
      <w:pPr>
        <w:pStyle w:val="ListBullet"/>
      </w:pPr>
      <w:r>
        <w:t>Contract / Dependency：EvidenceRef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N/A：rate limit/retry/cancel</w:t>
      </w:r>
    </w:p>
    <w:p>
      <w:pPr>
        <w:pStyle w:val="ListBullet"/>
      </w:pPr>
      <w:r>
        <w:t>Protected：不无限重试产生费用</w:t>
      </w:r>
    </w:p>
    <w:p>
      <w:pPr>
        <w:pStyle w:val="ListBullet"/>
      </w:pPr>
      <w:r>
        <w:t>Contract / Dependency：provider job contract</w:t>
      </w:r>
    </w:p>
    <w:p>
      <w:pPr>
        <w:pStyle w:val="ListBullet"/>
      </w:pPr>
      <w:r>
        <w:t>Acceptance / Test / Evidence：429/timeout 映射清楚。</w:t>
      </w:r>
    </w:p>
    <w:p>
      <w:pPr>
        <w:pStyle w:val="Heading3"/>
      </w:pPr>
      <w:r>
        <w:t>Provider/External｜Applicable · B-class provider</w:t>
      </w:r>
    </w:p>
    <w:p>
      <w:pPr>
        <w:pStyle w:val="ListBullet"/>
      </w:pPr>
      <w:r>
        <w:t>Allowed / N/A：Qodo/CodeRabbit/etc</w:t>
      </w:r>
    </w:p>
    <w:p>
      <w:pPr>
        <w:pStyle w:val="ListBullet"/>
      </w:pPr>
      <w:r>
        <w:t>Protected：provider-specific schema/secret 不泄露</w:t>
      </w:r>
    </w:p>
    <w:p>
      <w:pPr>
        <w:pStyle w:val="ListBullet"/>
      </w:pPr>
      <w:r>
        <w:t>Contract / Dependency：AIReviewAdapter</w:t>
      </w:r>
    </w:p>
    <w:p>
      <w:pPr>
        <w:pStyle w:val="ListBullet"/>
      </w:pPr>
      <w:r>
        <w:t>Acceptance / Test / Evidence：version/region/cost/retention 记录。</w:t>
      </w:r>
    </w:p>
    <w:p>
      <w:pPr>
        <w:pStyle w:val="Heading3"/>
      </w:pPr>
      <w:r>
        <w:t>Infra/Config｜Applicable · Provider/Security</w:t>
      </w:r>
    </w:p>
    <w:p>
      <w:pPr>
        <w:pStyle w:val="ListBullet"/>
      </w:pPr>
      <w:r>
        <w:t>Allowed / N/A：data minimization、region、retention、budget</w:t>
      </w:r>
    </w:p>
    <w:p>
      <w:pPr>
        <w:pStyle w:val="ListBullet"/>
      </w:pPr>
      <w:r>
        <w:t>Protected：禁止默认把全私有仓库发云端</w:t>
      </w:r>
    </w:p>
    <w:p>
      <w:pPr>
        <w:pStyle w:val="ListBullet"/>
      </w:pPr>
      <w:r>
        <w:t>Contract / Dependency：ProviderPolicy</w:t>
      </w:r>
    </w:p>
    <w:p>
      <w:pPr>
        <w:pStyle w:val="ListBullet"/>
      </w:pPr>
      <w:r>
        <w:t>Acceptance / Test / Evidence：未批准 region/provider 时功能关闭。</w:t>
      </w:r>
    </w:p>
    <w:p>
      <w:pPr>
        <w:pStyle w:val="Heading3"/>
      </w:pPr>
      <w:r>
        <w:t>Tests/Observability｜Applicable · QA/Sec</w:t>
      </w:r>
    </w:p>
    <w:p>
      <w:pPr>
        <w:pStyle w:val="ListBullet"/>
      </w:pPr>
      <w:r>
        <w:t>Allowed / N/A：deterministic fail + AI pass；AI fail + deterministic pass；large diff truncation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Dependency：AIReviewChallengeSet</w:t>
      </w:r>
    </w:p>
    <w:p>
      <w:pPr>
        <w:pStyle w:val="ListBullet"/>
      </w:pPr>
      <w:r>
        <w:t>Acceptance / Test / Evidence：AI 不得覆盖 Hard Gate；截断必须标 incomplete/context-limited。</w:t>
      </w:r>
    </w:p>
    <w:p>
      <w:pPr>
        <w:pStyle w:val="ListBullet"/>
      </w:pPr>
      <w:r>
        <w:t>Allowed / N/A（2026-09-04补）：喂给该 Provider 的代码应通过检索方式给相关上下文（调用关系等），不整仓库塞入——真实数据显示上下文过大反而降低准确率；判断成本控制上采用"低成本模型先判，低置信度才升级"，不默认多模型并行（多模型并行真实成本会涨 4 倍以上）；发送范围受第16节 Provider 白名单约束。</w:t>
      </w:r>
    </w:p>
    <w:p>
      <w:pPr>
        <w:pStyle w:val="ListBullet"/>
      </w:pPr>
      <w:r>
        <w:t>2026-09-04用户直接要求解决（承接「并行调度」卡片卡点①的风险分级方案，用户追问"审核AI能不能多布置、专门AI审专门程序"）：查证2026年真实数据——AI代码审查在识别已知模式的安全漏洞、性能瓶颈、风格问题上已经比较可靠，但对需要理解业务背景、需要"全局"架构判断的问题仍明显弱于人类，现有实践一致认为AI审查会长期是"辅助"而非"替代"人工判断；同时查到真实的多专门AI并行审查案例——Cloudflare生产系统用最多7个专门AI（各自只看一个维度：安全/性能/架构合规）并行审查同一份diff，互不干扰，因为"不同专门AI的盲点不一样"，45秒内出结果。</w:t>
      </w:r>
    </w:p>
    <w:p>
      <w:pPr>
        <w:pStyle w:val="ListBullet"/>
      </w:pPr>
      <w:r>
        <w:t>修正：F-DQ-012从"单一AI review"扩展为"多个专门AI并行预审"，仅适用于GateDecision.reviewRoute=INDEPENDENT_REVIEW的WorkPackage（即未命中低风险自动批准、原本就要走独立Review的那部分，不改变谁需要人工审核这道闸门）——至少拆成安全向、架构合规向两个独立视角并行跑，各自只产出简短的重点标注（问题位置+一句话原因），不产出PASS/DENY结论，附加在diff上供Source Reviewer参考，人的最终判断权不变。模型/成本沿用本节已有规则（检索式喂上下文、低成本模型先判低置信度才升级、禁止默认多模型全量并行），不新定义第二套成本纪律。如实标注一个新的小尾巴：这层专门AI预审本身也是AI在做判断，谁来核查这几个专门AI标的重点标得准不准，现在没有答案——沿用本节已有的AIReviewChallengeSet思路即可覆盖，不需要另建机制，但具体节奏现在不定，等这层实际跑起来有真实数据后再补，不能没有数据先编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@Tag("DQ-T015")                       // 方便单独跑：mvn test -Dgroups=DQ-T015</w:t>
        <w:br/>
        <w:t>void dqT015_describeWhatThisCriterionVerifies()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可以有多个测试方法（dqT015_a、dqT015_b…），但不能一条都没有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/dq/ai-review</w:t>
            </w:r>
          </w:p>
        </w:tc>
        <w:tc>
          <w:tcPr>
            <w:tcW w:type="dxa" w:w="2160"/>
          </w:tcPr>
          <w:p>
            <w:r>
              <w:t>触发AI Code Review补充证据（仅F-DQ-012启用时可调用）</w:t>
            </w:r>
          </w:p>
        </w:tc>
        <w:tc>
          <w:tcPr>
            <w:tcW w:type="dxa" w:w="2160"/>
          </w:tcPr>
          <w:p>
            <w:r>
              <w:t>F-DQ-012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ai-review/            # F-DQ-012（可选模块，独立可关闭）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BE-12 AIReviewAdapter（可选启用）（F-DQ-012）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.docx §16 第6条：发往外部 Provider 的代码范围必须受一份显式白名单约束，由负责人决定哪些仓库/路径允许发出，不得因追求判断准确率而无限制外发。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第9节表26；七类施工面来自第10节；验收标准来自第13节（归属为推导）；可写路径来自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