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F-DQ-012 · AI 代码审查补充证据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20:57（仓库 49be2b5）·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AI 代码审查补充证据（AI Code Review Supplemental Evidence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OPTIONAL_B_PROVIDER · Stage10 可按成本/区域启用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WP-DQ-09（同批：F012）—— AI Review optional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Source Review Owner；Implementer: UNASSIGNED_STAGE10；Source Reviewer: independent human/AI policy；Acceptance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r>
        <w:t>In Scope：provider adapter、comment/findings normalization、privacy/region policy、model/version evidence。</w:t>
      </w:r>
    </w:p>
    <w:p>
      <w:r>
        <w:t>Out of Scope：AI reviewer 不批准自己的代码；不因 AI 说“LGTM”绕过 deterministic/security tests。</w:t>
      </w:r>
    </w:p>
    <w:p>
      <w:r>
        <w:t>入口 / Route：PR review + /ops/dev-quality/findings</w:t>
      </w:r>
    </w:p>
    <w:p>
      <w:r>
        <w:t>依赖：Provider Router/F-CRED/F-COST/F-OBS；F-DQ-002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backend/modules/dev-quality/src/main/java/com/matbox/devquality/adapters/ai-review/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pPr>
        <w:pStyle w:val="Heading3"/>
      </w:pPr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pPr>
        <w:pStyle w:val="Heading3"/>
      </w:pPr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pPr>
        <w:pStyle w:val="Heading3"/>
      </w:pPr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@Tag("DQ-T015")                       // 方便单独跑：mvn test -Dgroups=DQ-T015</w:t>
        <w:br/>
        <w:t>void dqT015_describeWhatThisCriterionVerifies()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可以有多个测试方法（dqT015_a、dqT015_b…），但不能一条都没有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/dq/ai-review</w:t>
            </w:r>
          </w:p>
        </w:tc>
        <w:tc>
          <w:tcPr>
            <w:tcW w:type="dxa" w:w="2160"/>
          </w:tcPr>
          <w:p>
            <w:r>
              <w:t>触发AI Code Review补充证据（仅F-DQ-012启用时可调用）</w:t>
            </w:r>
          </w:p>
        </w:tc>
        <w:tc>
          <w:tcPr>
            <w:tcW w:type="dxa" w:w="2160"/>
          </w:tcPr>
          <w:p>
            <w:r>
              <w:t>F-DQ-012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ai-review/            # F-DQ-012（可选模块，独立可关闭）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BE-12 AIReviewAdapter（可选启用）（F-DQ-012）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 第6条：发往外部 Provider 的代码范围必须受一份显式白名单约束，由负责人决定哪些仓库/路径允许发出，不得因追求判断准确率而无限制外发。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