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Matbox 代码问题定位与人工修复台</w:t>
      </w:r>
    </w:p>
    <w:p>
      <w:r>
        <w:rPr>
          <w:b/>
          <w:color w:val="5B6573"/>
        </w:rPr>
        <w:t>独立专项开发文档 · V1.0 · 2026-08-29</w:t>
      </w:r>
    </w:p>
    <w:p>
      <w:r>
        <w:rPr>
          <w:b w:val="0"/>
        </w:rPr>
        <w:t>定位：在不改变现有代码质量、安全、证据和发布 Gate 的前提下，新增一个可视化读写层，让开发者实时看见“哪段代码出问题、为什么、影响什么、怎么改、改完是否通过复检”。</w:t>
      </w:r>
    </w:p>
    <w:p>
      <w:r>
        <w:rPr>
          <w:b/>
          <w:color w:val="C00000"/>
        </w:rPr>
        <w:t>文档状态：开发指导版（Stage 8 真实 POC 待 Matbox 源码仓库与 Base Commit 提供后执行；未将未验证内容标记为已通过）。</w:t>
      </w:r>
    </w:p>
    <w:p>
      <w:r>
        <w:rPr>
          <w:b/>
          <w:color w:val="C00000"/>
        </w:rPr>
        <w:t>2026-09-08 更名：原名「代码问题可视化定位与智能修复中心」。「修复中心」暗示本模块拥有修复能力，但 RepairAttempt 的事实源在 F-DQ-001~013（本文档附录A 亦自述「不替换、不复制、不合并」），名大于实；且本模块是 CQRS 的读侧，名字里不应带写侧动词。新名「人工修复台」与 DQ 状态表的 BLOCKED_MANUAL（自动返修失败转人工）字面对应。模块编号 F-VIZ-001~007 不变。</w:t>
      </w:r>
    </w:p>
    <w:p>
      <w:pPr>
        <w:pStyle w:val="Heading1"/>
      </w:pPr>
      <w:r>
        <w:rPr>
          <w:b w:val="0"/>
        </w:rPr>
        <w:t>1. 目标与边界</w:t>
      </w:r>
    </w:p>
    <w:p>
      <w:r>
        <w:rPr>
          <w:b w:val="0"/>
        </w:rPr>
        <w:t>本专项不是重新开发一套质检系统，也不是做一个只有漂亮图形的代码地图。它把现有 QualityRun、NormalizedFinding、GateDecision、RepairAttempt、Evidence、Audit、Trace 等事实投影到一个可交互界面，并把每个问题落到服务、模块、文件、函数和行号。</w:t>
      </w:r>
    </w:p>
    <w:p>
      <w:r>
        <w:rPr>
          <w:b w:val="0"/>
        </w:rPr>
        <w:t>P0 成功标准：用户从一个问题卡片进入后，最多三次点击看到源码上下文、规则证据、调用/依赖影响、修复建议、修复尝试和最新三 Gate 结果；任何“未知、超时、错误、未完成”都不能显示成通过。</w:t>
      </w:r>
    </w:p>
    <w:p>
      <w:r>
        <w:rPr>
          <w:b w:val="0"/>
        </w:rPr>
        <w:t>明确不做：第二套扫描器编排、第二套证据库、第二套发布门禁、第二套任务队列、第二套租户/RBAC/密钥系统、自动无审批合并、泛化 3D 代码城市。</w:t>
      </w:r>
    </w:p>
    <w:p>
      <w:pPr>
        <w:pStyle w:val="Heading1"/>
      </w:pPr>
      <w:r>
        <w:rPr>
          <w:b w:val="0"/>
        </w:rPr>
        <w:t>2. 用户场景与核心页面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  <w:vAlign w:val="center"/>
          </w:tcPr>
          <w:p>
            <w:r>
              <w:rPr>
                <w:b/>
              </w:rPr>
              <w:t>页面</w:t>
            </w:r>
          </w:p>
        </w:tc>
        <w:tc>
          <w:tcPr>
            <w:tcW w:type="dxa" w:w="3264"/>
            <w:shd w:fill="D9EAF7"/>
            <w:vAlign w:val="center"/>
          </w:tcPr>
          <w:p>
            <w:r>
              <w:rPr>
                <w:b/>
              </w:rPr>
              <w:t>必须回答的问题</w:t>
            </w:r>
          </w:p>
        </w:tc>
        <w:tc>
          <w:tcPr>
            <w:tcW w:type="dxa" w:w="3264"/>
            <w:shd w:fill="D9EAF7"/>
            <w:vAlign w:val="center"/>
          </w:tcPr>
          <w:p>
            <w:r>
              <w:rPr>
                <w:b/>
              </w:rPr>
              <w:t>关键交互</w:t>
            </w:r>
          </w:p>
        </w:tc>
      </w:tr>
      <w:tr>
        <w:tc>
          <w:tcPr>
            <w:tcW w:type="dxa" w:w="3264"/>
            <w:vAlign w:val="center"/>
          </w:tcPr>
          <w:p>
            <w:r>
              <w:t>问题总览</w:t>
            </w:r>
          </w:p>
        </w:tc>
        <w:tc>
          <w:tcPr>
            <w:tcW w:type="dxa" w:w="3264"/>
            <w:vAlign w:val="center"/>
          </w:tcPr>
          <w:p>
            <w:r>
              <w:t>现在最严重的问题在哪？</w:t>
            </w:r>
          </w:p>
        </w:tc>
        <w:tc>
          <w:tcPr>
            <w:tcW w:type="dxa" w:w="3264"/>
            <w:vAlign w:val="center"/>
          </w:tcPr>
          <w:p>
            <w:r>
              <w:t>按 Gate/严重度/服务/分支筛选；实时状态流</w:t>
            </w:r>
          </w:p>
        </w:tc>
      </w:tr>
      <w:tr>
        <w:tc>
          <w:tcPr>
            <w:tcW w:type="dxa" w:w="3264"/>
            <w:vAlign w:val="center"/>
          </w:tcPr>
          <w:p>
            <w:r>
              <w:t>代码定位页</w:t>
            </w:r>
          </w:p>
        </w:tc>
        <w:tc>
          <w:tcPr>
            <w:tcW w:type="dxa" w:w="3264"/>
            <w:vAlign w:val="center"/>
          </w:tcPr>
          <w:p>
            <w:r>
              <w:t>具体哪一块代码错？</w:t>
            </w:r>
          </w:p>
        </w:tc>
        <w:tc>
          <w:tcPr>
            <w:tcW w:type="dxa" w:w="3264"/>
            <w:vAlign w:val="center"/>
          </w:tcPr>
          <w:p>
            <w:r>
              <w:t>服务→模块→文件→函数→行；源码高亮与证据跳转</w:t>
            </w:r>
          </w:p>
        </w:tc>
      </w:tr>
      <w:tr>
        <w:tc>
          <w:tcPr>
            <w:tcW w:type="dxa" w:w="3264"/>
            <w:vAlign w:val="center"/>
          </w:tcPr>
          <w:p>
            <w:r>
              <w:t>影响分析页</w:t>
            </w:r>
          </w:p>
        </w:tc>
        <w:tc>
          <w:tcPr>
            <w:tcW w:type="dxa" w:w="3264"/>
            <w:vAlign w:val="center"/>
          </w:tcPr>
          <w:p>
            <w:r>
              <w:t>改它会影响什么？</w:t>
            </w:r>
          </w:p>
        </w:tc>
        <w:tc>
          <w:tcPr>
            <w:tcW w:type="dxa" w:w="3264"/>
            <w:vAlign w:val="center"/>
          </w:tcPr>
          <w:p>
            <w:r>
              <w:t>调用者/被调用者/依赖/配置/测试覆盖关系图</w:t>
            </w:r>
          </w:p>
        </w:tc>
      </w:tr>
      <w:tr>
        <w:tc>
          <w:tcPr>
            <w:tcW w:type="dxa" w:w="3264"/>
            <w:vAlign w:val="center"/>
          </w:tcPr>
          <w:p>
            <w:r>
              <w:t>修复中心</w:t>
            </w:r>
          </w:p>
        </w:tc>
        <w:tc>
          <w:tcPr>
            <w:tcW w:type="dxa" w:w="3264"/>
            <w:vAlign w:val="center"/>
          </w:tcPr>
          <w:p>
            <w:r>
              <w:t>怎么改？改完可信吗？</w:t>
            </w:r>
          </w:p>
        </w:tc>
        <w:tc>
          <w:tcPr>
            <w:tcW w:type="dxa" w:w="3264"/>
            <w:vAlign w:val="center"/>
          </w:tcPr>
          <w:p>
            <w:r>
              <w:t>建议、补丁预览、隔离 RepairAttempt、人工批准、重新质检</w:t>
            </w:r>
          </w:p>
        </w:tc>
      </w:tr>
      <w:tr>
        <w:tc>
          <w:tcPr>
            <w:tcW w:type="dxa" w:w="3264"/>
            <w:vAlign w:val="center"/>
          </w:tcPr>
          <w:p>
            <w:r>
              <w:t>运行时间线</w:t>
            </w:r>
          </w:p>
        </w:tc>
        <w:tc>
          <w:tcPr>
            <w:tcW w:type="dxa" w:w="3264"/>
            <w:vAlign w:val="center"/>
          </w:tcPr>
          <w:p>
            <w:r>
              <w:t>现在跑到哪一步？</w:t>
            </w:r>
          </w:p>
        </w:tc>
        <w:tc>
          <w:tcPr>
            <w:tcW w:type="dxa" w:w="3264"/>
            <w:vAlign w:val="center"/>
          </w:tcPr>
          <w:p>
            <w:r>
              <w:t>QualityRun/ScannerRun/索引/修复/复检事件与耗时</w:t>
            </w:r>
          </w:p>
        </w:tc>
      </w:tr>
      <w:tr>
        <w:tc>
          <w:tcPr>
            <w:tcW w:type="dxa" w:w="3264"/>
            <w:vAlign w:val="center"/>
          </w:tcPr>
          <w:p>
            <w:r>
              <w:t>证据抽屉</w:t>
            </w:r>
          </w:p>
        </w:tc>
        <w:tc>
          <w:tcPr>
            <w:tcW w:type="dxa" w:w="3264"/>
            <w:vAlign w:val="center"/>
          </w:tcPr>
          <w:p>
            <w:r>
              <w:t>依据是什么？</w:t>
            </w:r>
          </w:p>
        </w:tc>
        <w:tc>
          <w:tcPr>
            <w:tcW w:type="dxa" w:w="3264"/>
            <w:vAlign w:val="center"/>
          </w:tcPr>
          <w:p>
            <w:r>
              <w:t>规则、原始输出、版本、commit、日志、脱敏后的上下文</w:t>
            </w:r>
          </w:p>
        </w:tc>
      </w:tr>
    </w:tbl>
    <w:p>
      <w:pPr>
        <w:pStyle w:val="Heading1"/>
      </w:pPr>
      <w:r>
        <w:rPr>
          <w:b w:val="0"/>
        </w:rPr>
        <w:t>3. 总体架构（只增加可视化层）</w:t>
      </w:r>
    </w:p>
    <w:p>
      <w:r>
        <w:rPr>
          <w:b w:val="0"/>
        </w:rPr>
        <w:t>数据流：现有质量系统产生事实 → Visualization Projection 生成统一视图模型 → 前端以问题卡、源码定位、关系图和时间线呈现 → 用户发起修复尝试 → 仍由现有 RepairAttempt/QualityRun 与三 Gate 复检 → 可视化层展示结果。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  <w:vAlign w:val="center"/>
          </w:tcPr>
          <w:p>
            <w:r>
              <w:rPr>
                <w:b/>
              </w:rPr>
              <w:t>层</w:t>
            </w:r>
          </w:p>
        </w:tc>
        <w:tc>
          <w:tcPr>
            <w:tcW w:type="dxa" w:w="3264"/>
            <w:shd w:fill="D9EAF7"/>
            <w:vAlign w:val="center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3264"/>
            <w:shd w:fill="D9EAF7"/>
            <w:vAlign w:val="center"/>
          </w:tcPr>
          <w:p>
            <w:r>
              <w:rPr>
                <w:b/>
              </w:rPr>
              <w:t>复用/新增</w:t>
            </w:r>
          </w:p>
        </w:tc>
      </w:tr>
      <w:tr>
        <w:tc>
          <w:tcPr>
            <w:tcW w:type="dxa" w:w="3264"/>
            <w:vAlign w:val="center"/>
          </w:tcPr>
          <w:p>
            <w:r>
              <w:t>事实层</w:t>
            </w:r>
          </w:p>
        </w:tc>
        <w:tc>
          <w:tcPr>
            <w:tcW w:type="dxa" w:w="3264"/>
            <w:vAlign w:val="center"/>
          </w:tcPr>
          <w:p>
            <w:r>
              <w:t>扫描、测试、安全、证据、审计、租户权限</w:t>
            </w:r>
          </w:p>
        </w:tc>
        <w:tc>
          <w:tcPr>
            <w:tcW w:type="dxa" w:w="3264"/>
            <w:vAlign w:val="center"/>
          </w:tcPr>
          <w:p>
            <w:r>
              <w:t>全部复用现有 SoT</w:t>
            </w:r>
          </w:p>
        </w:tc>
      </w:tr>
      <w:tr>
        <w:tc>
          <w:tcPr>
            <w:tcW w:type="dxa" w:w="3264"/>
            <w:vAlign w:val="center"/>
          </w:tcPr>
          <w:p>
            <w:r>
              <w:t>上下文层</w:t>
            </w:r>
          </w:p>
        </w:tc>
        <w:tc>
          <w:tcPr>
            <w:tcW w:type="dxa" w:w="3264"/>
            <w:vAlign w:val="center"/>
          </w:tcPr>
          <w:p>
            <w:r>
              <w:t>把 finding 解析为文件/函数/行及关系</w:t>
            </w:r>
          </w:p>
        </w:tc>
        <w:tc>
          <w:tcPr>
            <w:tcW w:type="dxa" w:w="3264"/>
            <w:vAlign w:val="center"/>
          </w:tcPr>
          <w:p>
            <w:r>
              <w:t>新增 CodeLocationRef、CodeRelationRef、ImpactContext</w:t>
            </w:r>
          </w:p>
        </w:tc>
      </w:tr>
      <w:tr>
        <w:tc>
          <w:tcPr>
            <w:tcW w:type="dxa" w:w="3264"/>
            <w:vAlign w:val="center"/>
          </w:tcPr>
          <w:p>
            <w:r>
              <w:t>投影层</w:t>
            </w:r>
          </w:p>
        </w:tc>
        <w:tc>
          <w:tcPr>
            <w:tcW w:type="dxa" w:w="3264"/>
            <w:vAlign w:val="center"/>
          </w:tcPr>
          <w:p>
            <w:r>
              <w:t>把事实拼成前端可读视图</w:t>
            </w:r>
          </w:p>
        </w:tc>
        <w:tc>
          <w:tcPr>
            <w:tcW w:type="dxa" w:w="3264"/>
            <w:vAlign w:val="center"/>
          </w:tcPr>
          <w:p>
            <w:r>
              <w:t>新增 VisualizationCompleteness、Confidence、EvidenceRef</w:t>
            </w:r>
          </w:p>
        </w:tc>
      </w:tr>
      <w:tr>
        <w:tc>
          <w:tcPr>
            <w:tcW w:type="dxa" w:w="3264"/>
            <w:vAlign w:val="center"/>
          </w:tcPr>
          <w:p>
            <w:r>
              <w:t>交互层</w:t>
            </w:r>
          </w:p>
        </w:tc>
        <w:tc>
          <w:tcPr>
            <w:tcW w:type="dxa" w:w="3264"/>
            <w:vAlign w:val="center"/>
          </w:tcPr>
          <w:p>
            <w:r>
              <w:t>源码、关系、修复、时间线、筛选</w:t>
            </w:r>
          </w:p>
        </w:tc>
        <w:tc>
          <w:tcPr>
            <w:tcW w:type="dxa" w:w="3264"/>
            <w:vAlign w:val="center"/>
          </w:tcPr>
          <w:p>
            <w:r>
              <w:t>新增 UI；不拥有质量事实</w:t>
            </w:r>
          </w:p>
        </w:tc>
      </w:tr>
    </w:tbl>
    <w:p>
      <w:pPr>
        <w:pStyle w:val="Heading1"/>
      </w:pPr>
      <w:r>
        <w:rPr>
          <w:b w:val="0"/>
        </w:rPr>
        <w:t>4. 统一数据合同</w:t>
      </w:r>
    </w:p>
    <w:p>
      <w:r>
        <w:rPr>
          <w:b w:val="0"/>
        </w:rPr>
        <w:t>每个可视化问题必须携带：FindingID、TenantID、QualityRunID、Gate、Severity、RuleID、Message、EvidenceRefs、Commit、FilePath、StartLine/EndLine、Symbol、Language、FindingConfidence、LocationConfidence、RelationConfidence、ImpactSummary、RepairAttemptID（可空）、LatestRevalidationStatus。（2026-09-08 补入 FindingConfidence：它来自质检文档 NormalizedFinding 已有的 confidence 字段，本清单此前整个漏掉了，见下方置信度说明。）</w:t>
      </w:r>
    </w:p>
    <w:p>
      <w:r>
        <w:rPr>
          <w:b w:val="0"/>
        </w:rPr>
        <w:t>状态枚举不由本文档自定，一律以《Matbox_代码持续质检与安全自检_正式开发文档》第6节状态表为唯一来源，共 10 个：CREATED、RUNNING、PASS、DENY、INCOMPLETE、SCANNER_ERROR、POLICY_ERROR、TIMEOUT、REVALIDATION_REQUIRED、BLOCKED_MANUAL。前端不得根据颜色或 HTTP 200 自行推导 PASS；只有现有 GateDecision 明确给出 PASS 才能显示通过。质检文档以后新增状态时，本模块必须同步支持，不得静默降级成一个笼统的错误态。</w:t>
      </w:r>
    </w:p>
    <w:p>
      <w:r>
        <w:rPr>
          <w:b w:val="0"/>
        </w:rPr>
        <w:t>2026-09-08 更正｜本条原写作「状态枚举固定为：PASS、DENY、ERROR、TIMEOUT、INCOMPLETE、REVALIDATION_REQUIRED、NOT_AVAILABLE」——一个写死的 7 项封闭清单。逐条比对质检文档第6节状态表后发现它接不住 5 个真实状态：CREATED、RUNNING、SCANNER_ERROR、POLICY_ERROR、BLOCKED_MANUAL。其中 BLOCKED_MANUAL 尤其致命：质检文档规定 DENY 时「生成 RepairPlan 或转人工（进入 BLOCKED_MANUAL，已接通 F-APPROVAL-001 通知）」，而「转人工」正是本模块存在的全部意义——人被转过来了，界面却没有这个状态可以显示。原清单里的 ERROR 一并作废：它把 SCANNER_ERROR 与 POLICY_ERROR 揉成一个，但两者处置方式完全不同（前者按错误分类重试、超限转 BLOCKED；后者必须由 Security/Quality Owner 修复 Policy，明令禁止降级绕过），而质检验收标准 DQ-T007 恰恰要求这类状态「不能混为一谈」。NOT_AVAILABLE 予以保留，但它描述的是「这条问题定位不到」，属于定位维度而不是 Gate 维度，必须放在独立字段，不得与 Gate 状态挤在同一个字段里。</w:t>
      </w:r>
    </w:p>
    <w:p>
      <w:r>
        <w:rPr>
          <w:b w:val="0"/>
        </w:rPr>
        <w:t>定位降级规则：精确行号→函数范围→文件→提交差异→仅规则证据。降级时必须显示原因和置信度，不得伪造行号。</w:t>
      </w:r>
    </w:p>
    <w:p>
      <w:r>
        <w:rPr>
          <w:b w:val="0"/>
        </w:rPr>
        <w:t>三个置信度不是同一件事，不得互相替代，也不得合并成一个数字显示（2026-09-08 补）：① FindingConfidence——来自质检文档 NormalizedFinding 的 confidence 字段，含义是「这条问题本身有多可能是真的、而不是误报」，本模块只透传、不得改写或重新计算；它是人工判定误报（对应质检 F-DQ-010 Suppression/False Positive 治理）的主要依据，本文档此前根本没把它列进统一数据合同，等于把误报判断的依据在界面上丢掉了。② LocationConfidence——本模块新增，含义是「把这条问题定位到这一行/这个函数有多准」，对应上一条的定位降级链。③ RelationConfidence——本模块新增，含义是「这条影响关系有多可信」。为什么必须分开：一条规则命中完全可以是 99% 确定的（FindingConfidence 高），但行号是从提交差异里推出来的（LocationConfidence 低）；把两者显示成同一个数字，会让人误以为「这一行确定有问题」，而本条上一句刚刚要求「不得伪造行号」。</w:t>
      </w:r>
    </w:p>
    <w:p>
      <w:pPr>
        <w:pStyle w:val="Heading1"/>
      </w:pPr>
      <w:r>
        <w:rPr>
          <w:b w:val="0"/>
        </w:rPr>
        <w:t>5. 代码关系与影响分析</w:t>
      </w:r>
    </w:p>
    <w:p>
      <w:pPr>
        <w:pStyle w:val="ListBullet"/>
      </w:pPr>
      <w:r>
        <w:t>优先使用已有索引/语言服务产出的符号与引用关系；Tree-sitter 只负责语法级定位，不能冒充完整语义图。</w:t>
      </w:r>
    </w:p>
    <w:p>
      <w:pPr>
        <w:pStyle w:val="ListBullet"/>
      </w:pPr>
      <w:r>
        <w:t>关系类型至少包括 CALLS、IMPORTS、READS、WRITES、CONFIGURES、TESTS、GENERATED_FROM。每条关系带来源、版本和置信度。</w:t>
      </w:r>
    </w:p>
    <w:p>
      <w:pPr>
        <w:pStyle w:val="ListBullet"/>
      </w:pPr>
      <w:r>
        <w:t>影响分析分为直接影响、传递影响、未知影响；未知不是“无影响”。大型仓库默认分层加载，先展示直接邻居，再按需展开。</w:t>
      </w:r>
    </w:p>
    <w:p>
      <w:pPr>
        <w:pStyle w:val="Heading1"/>
      </w:pPr>
      <w:r>
        <w:rPr>
          <w:b w:val="0"/>
        </w:rPr>
        <w:t>6. 修复闭环</w:t>
      </w:r>
    </w:p>
    <w:p>
      <w:pPr>
        <w:pStyle w:val="ListNumber"/>
      </w:pPr>
      <w:r>
        <w:t>用户从问题定位页点击“解释”：展示规则、证据、上下文和可能根因。</w:t>
      </w:r>
    </w:p>
    <w:p>
      <w:pPr>
        <w:pStyle w:val="ListNumber"/>
      </w:pPr>
      <w:r>
        <w:t>用户点击“生成修复”：创建隔离 RepairAttempt，不直接改主分支。</w:t>
      </w:r>
    </w:p>
    <w:p>
      <w:pPr>
        <w:pStyle w:val="ListNumber"/>
      </w:pPr>
      <w:r>
        <w:t>系统生成补丁预览，列出修改文件、行范围、风险与关联 finding。</w:t>
      </w:r>
    </w:p>
    <w:p>
      <w:pPr>
        <w:pStyle w:val="ListNumber"/>
      </w:pPr>
      <w:r>
        <w:t>人工批准后提交新 commit，并创建新的 QualityRun。</w:t>
      </w:r>
    </w:p>
    <w:p>
      <w:pPr>
        <w:pStyle w:val="ListNumber"/>
      </w:pPr>
      <w:r>
        <w:t>按既有顺序执行代码质量 → 安全质量 → 自动化测试三 Gate。</w:t>
      </w:r>
    </w:p>
    <w:p>
      <w:pPr>
        <w:pStyle w:val="ListNumber"/>
      </w:pPr>
      <w:r>
        <w:t>任一 Gate 非 PASS，状态为 DENY 或对应非通过状态，回写问题时间线并要求继续修复。</w:t>
      </w:r>
    </w:p>
    <w:p>
      <w:pPr>
        <w:pStyle w:val="Heading1"/>
      </w:pPr>
      <w:r>
        <w:rPr>
          <w:b w:val="0"/>
        </w:rPr>
        <w:t>7. 实时性与可观测性</w:t>
      </w:r>
    </w:p>
    <w:p>
      <w:r>
        <w:rPr>
          <w:b w:val="0"/>
        </w:rPr>
        <w:t>采用事件驱动更新：QualityRunStarted、ScannerFindingAdded、IndexUpdated、RepairAttemptCreated、PatchReady、RevalidationStarted、GateDecisionRecorded、RunFinished。前端通过现有事件/队列订阅，不新建第二套队列。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  <w:vAlign w:val="center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3264"/>
            <w:shd w:fill="D9EAF7"/>
            <w:vAlign w:val="center"/>
          </w:tcPr>
          <w:p>
            <w:r>
              <w:rPr>
                <w:b/>
              </w:rPr>
              <w:t>开发目标（待 POC 验证）</w:t>
            </w:r>
          </w:p>
        </w:tc>
        <w:tc>
          <w:tcPr>
            <w:tcW w:type="dxa" w:w="3264"/>
            <w:shd w:fill="D9EAF7"/>
            <w:vAlign w:val="center"/>
          </w:tcPr>
          <w:p>
            <w:r>
              <w:rPr>
                <w:b/>
              </w:rPr>
              <w:t>失败处理</w:t>
            </w:r>
          </w:p>
        </w:tc>
      </w:tr>
      <w:tr>
        <w:tc>
          <w:tcPr>
            <w:tcW w:type="dxa" w:w="3264"/>
            <w:vAlign w:val="center"/>
          </w:tcPr>
          <w:p>
            <w:r>
              <w:t>首个问题可见</w:t>
            </w:r>
          </w:p>
        </w:tc>
        <w:tc>
          <w:tcPr>
            <w:tcW w:type="dxa" w:w="3264"/>
            <w:vAlign w:val="center"/>
          </w:tcPr>
          <w:p>
            <w:r>
              <w:t>事件到 UI ≤5 秒</w:t>
            </w:r>
          </w:p>
        </w:tc>
        <w:tc>
          <w:tcPr>
            <w:tcW w:type="dxa" w:w="3264"/>
            <w:vAlign w:val="center"/>
          </w:tcPr>
          <w:p>
            <w:r>
              <w:t>显示延迟与最后更新时间</w:t>
            </w:r>
          </w:p>
        </w:tc>
      </w:tr>
      <w:tr>
        <w:tc>
          <w:tcPr>
            <w:tcW w:type="dxa" w:w="3264"/>
            <w:vAlign w:val="center"/>
          </w:tcPr>
          <w:p>
            <w:r>
              <w:t>定位完整度</w:t>
            </w:r>
          </w:p>
        </w:tc>
        <w:tc>
          <w:tcPr>
            <w:tcW w:type="dxa" w:w="3264"/>
            <w:vAlign w:val="center"/>
          </w:tcPr>
          <w:p>
            <w:r>
              <w:t>P0 finding ≥95% 精确到行/函数</w:t>
            </w:r>
          </w:p>
        </w:tc>
        <w:tc>
          <w:tcPr>
            <w:tcW w:type="dxa" w:w="3264"/>
            <w:vAlign w:val="center"/>
          </w:tcPr>
          <w:p>
            <w:r>
              <w:t>降级并标注 NOT_AVAILABLE</w:t>
            </w:r>
          </w:p>
        </w:tc>
      </w:tr>
      <w:tr>
        <w:tc>
          <w:tcPr>
            <w:tcW w:type="dxa" w:w="3264"/>
            <w:vAlign w:val="center"/>
          </w:tcPr>
          <w:p>
            <w:r>
              <w:t>事件顺序</w:t>
            </w:r>
          </w:p>
        </w:tc>
        <w:tc>
          <w:tcPr>
            <w:tcW w:type="dxa" w:w="3264"/>
            <w:vAlign w:val="center"/>
          </w:tcPr>
          <w:p>
            <w:r>
              <w:t>按 EventID/OccurredAt 可重放</w:t>
            </w:r>
          </w:p>
        </w:tc>
        <w:tc>
          <w:tcPr>
            <w:tcW w:type="dxa" w:w="3264"/>
            <w:vAlign w:val="center"/>
          </w:tcPr>
          <w:p>
            <w:r>
              <w:t>乱序进入缓冲并告警</w:t>
            </w:r>
          </w:p>
        </w:tc>
      </w:tr>
      <w:tr>
        <w:tc>
          <w:tcPr>
            <w:tcW w:type="dxa" w:w="3264"/>
            <w:vAlign w:val="center"/>
          </w:tcPr>
          <w:p>
            <w:r>
              <w:t>大仓库交互</w:t>
            </w:r>
          </w:p>
        </w:tc>
        <w:tc>
          <w:tcPr>
            <w:tcW w:type="dxa" w:w="3264"/>
            <w:vAlign w:val="center"/>
          </w:tcPr>
          <w:p>
            <w:r>
              <w:t>首屏分层加载，不阻塞问题列表</w:t>
            </w:r>
          </w:p>
        </w:tc>
        <w:tc>
          <w:tcPr>
            <w:tcW w:type="dxa" w:w="3264"/>
            <w:vAlign w:val="center"/>
          </w:tcPr>
          <w:p>
            <w:r>
              <w:t>超时显示 TIMEOUT，不显示空白成功</w:t>
            </w:r>
          </w:p>
        </w:tc>
      </w:tr>
    </w:tbl>
    <w:p>
      <w:pPr>
        <w:pStyle w:val="Heading1"/>
      </w:pPr>
      <w:r>
        <w:rPr>
          <w:b w:val="0"/>
        </w:rPr>
        <w:t>8. 安全与权限</w:t>
      </w:r>
    </w:p>
    <w:p>
      <w:pPr>
        <w:pStyle w:val="ListBullet"/>
      </w:pPr>
      <w:r>
        <w:t>所有查询沿用现有 TenantID、项目权限、RBAC 和审计链；前端不得通过参数越权读取源码。</w:t>
      </w:r>
    </w:p>
    <w:p>
      <w:pPr>
        <w:pStyle w:val="ListBullet"/>
      </w:pPr>
      <w:r>
        <w:t>源码、日志、模型上下文默认脱敏；密钥、令牌、个人信息不得进入可视化或模型提示词。</w:t>
      </w:r>
    </w:p>
    <w:p>
      <w:pPr>
        <w:pStyle w:val="ListBullet"/>
      </w:pPr>
      <w:r>
        <w:t>修复操作必须记录操作者、审批人、RepairAttempt、输入版本、输出 commit 和复检结果。</w:t>
      </w:r>
    </w:p>
    <w:p>
      <w:pPr>
        <w:pStyle w:val="ListBullet"/>
      </w:pPr>
      <w:r>
        <w:t>关系图和导出功能继承现有数据导出权限与审计策略。</w:t>
      </w:r>
    </w:p>
    <w:p>
      <w:pPr>
        <w:pStyle w:val="Heading1"/>
      </w:pPr>
      <w:r>
        <w:rPr>
          <w:b w:val="0"/>
        </w:rPr>
        <w:t>9. 技术实现建议</w:t>
      </w:r>
    </w:p>
    <w:p>
      <w:r>
        <w:rPr>
          <w:b w:val="0"/>
        </w:rPr>
        <w:t>解析与定位：采用 Tree-sitter 主力 + SCIP 兜底的混合方案（2026-08-29 审核确认，不是模糊枚举几个工具了事）——Tree-sitter 负责语法级增量解析，满足第7节“事件到UI≤5秒”的实时性要求；SCIP 仅在需要精确跨文件语义/引用关系时兜底查询，不作为主路径（SCIP把仓库当整体快照处理，大仓库全量重新索引可耗时30-90分钟，直接用作主路径会与实时性要求直接冲突）。LSP/LSIF 不作为本模块的解析路径。扫描结果统一接收现有 SARIF/NormalizedFinding；关系查询优先现有索引，必要时增加只读投影索引。</w:t>
      </w:r>
    </w:p>
    <w:p>
      <w:r>
        <w:rPr>
          <w:b w:val="0"/>
        </w:rPr>
        <w:t>前端：源码阅读器 + 虚拟化列表 + 分层关系图 + 时间线。图形不是核心事实源；任何节点都必须可回到 FilePath/Line/EvidenceRef。</w:t>
      </w:r>
    </w:p>
    <w:p>
      <w:r>
        <w:rPr>
          <w:b w:val="0"/>
        </w:rPr>
        <w:t>AI：可接入最新模型用于解释、排序和生成修复草案，但模型输出只能形成建议，不能改变 GateDecision、Evidence 或 Release 状态。源代码内容（含注释、字符串、变量名等）在构造提示词时一律作为不可信数据传入，不得作为指令解读（2026-08-29 审核确认——2026年已有真实披露：Claude Code 安全审查功能被伪装成正常内容的PR标题诱导执行任意命令并窃取密钥，Gemini CLI 曾被类似手法窃取完整API密钥）；“解释”“生成修复”这两类AI调用本身不得具备任何工具调用/执行能力，只能纯文本输入输出，从源头消除被诱导执行操作的可能。</w:t>
      </w:r>
    </w:p>
    <w:p>
      <w:pPr>
        <w:pStyle w:val="Heading1"/>
      </w:pPr>
      <w:r>
        <w:rPr>
          <w:b w:val="0"/>
        </w:rPr>
        <w:t>10. Stage 8 真实 POC 验收矩阵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测试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通过条件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当前状态</w:t>
            </w:r>
          </w:p>
        </w:tc>
      </w:tr>
      <w:tr>
        <w:tc>
          <w:tcPr>
            <w:tcW w:type="dxa" w:w="2448"/>
            <w:vAlign w:val="center"/>
          </w:tcPr>
          <w:p>
            <w:r>
              <w:t>P1</w:t>
            </w:r>
          </w:p>
        </w:tc>
        <w:tc>
          <w:tcPr>
            <w:tcW w:type="dxa" w:w="2448"/>
            <w:vAlign w:val="center"/>
          </w:tcPr>
          <w:p>
            <w:r>
              <w:t>Finding→文件/函数/行</w:t>
            </w:r>
          </w:p>
        </w:tc>
        <w:tc>
          <w:tcPr>
            <w:tcW w:type="dxa" w:w="2448"/>
            <w:vAlign w:val="center"/>
          </w:tcPr>
          <w:p>
            <w:r>
              <w:t>真实 Matbox diff 中定位准确率达目标</w:t>
            </w:r>
          </w:p>
        </w:tc>
        <w:tc>
          <w:tcPr>
            <w:tcW w:type="dxa" w:w="2448"/>
            <w:vAlign w:val="center"/>
          </w:tcPr>
          <w:p>
            <w:r>
              <w:t>待源码</w:t>
            </w:r>
          </w:p>
        </w:tc>
      </w:tr>
      <w:tr>
        <w:tc>
          <w:tcPr>
            <w:tcW w:type="dxa" w:w="2448"/>
            <w:vAlign w:val="center"/>
          </w:tcPr>
          <w:p>
            <w:r>
              <w:t>P2</w:t>
            </w:r>
          </w:p>
        </w:tc>
        <w:tc>
          <w:tcPr>
            <w:tcW w:type="dxa" w:w="2448"/>
            <w:vAlign w:val="center"/>
          </w:tcPr>
          <w:p>
            <w:r>
              <w:t>关系/影响</w:t>
            </w:r>
          </w:p>
        </w:tc>
        <w:tc>
          <w:tcPr>
            <w:tcW w:type="dxa" w:w="2448"/>
            <w:vAlign w:val="center"/>
          </w:tcPr>
          <w:p>
            <w:r>
              <w:t>已知跨文件调用与配置影响无误报关键路径</w:t>
            </w:r>
          </w:p>
        </w:tc>
        <w:tc>
          <w:tcPr>
            <w:tcW w:type="dxa" w:w="2448"/>
            <w:vAlign w:val="center"/>
          </w:tcPr>
          <w:p>
            <w:r>
              <w:t>待源码</w:t>
            </w:r>
          </w:p>
        </w:tc>
      </w:tr>
      <w:tr>
        <w:tc>
          <w:tcPr>
            <w:tcW w:type="dxa" w:w="2448"/>
            <w:vAlign w:val="center"/>
          </w:tcPr>
          <w:p>
            <w:r>
              <w:t>P3</w:t>
            </w:r>
          </w:p>
        </w:tc>
        <w:tc>
          <w:tcPr>
            <w:tcW w:type="dxa" w:w="2448"/>
            <w:vAlign w:val="center"/>
          </w:tcPr>
          <w:p>
            <w:r>
              <w:t>修复→复检</w:t>
            </w:r>
          </w:p>
        </w:tc>
        <w:tc>
          <w:tcPr>
            <w:tcW w:type="dxa" w:w="2448"/>
            <w:vAlign w:val="center"/>
          </w:tcPr>
          <w:p>
            <w:r>
              <w:t>新 commit、新 QualityRun、三 Gate 可追溯</w:t>
            </w:r>
          </w:p>
        </w:tc>
        <w:tc>
          <w:tcPr>
            <w:tcW w:type="dxa" w:w="2448"/>
            <w:vAlign w:val="center"/>
          </w:tcPr>
          <w:p>
            <w:r>
              <w:t>待开发</w:t>
            </w:r>
          </w:p>
        </w:tc>
      </w:tr>
      <w:tr>
        <w:tc>
          <w:tcPr>
            <w:tcW w:type="dxa" w:w="2448"/>
            <w:vAlign w:val="center"/>
          </w:tcPr>
          <w:p>
            <w:r>
              <w:t>P4</w:t>
            </w:r>
          </w:p>
        </w:tc>
        <w:tc>
          <w:tcPr>
            <w:tcW w:type="dxa" w:w="2448"/>
            <w:vAlign w:val="center"/>
          </w:tcPr>
          <w:p>
            <w:r>
              <w:t>实时状态</w:t>
            </w:r>
          </w:p>
        </w:tc>
        <w:tc>
          <w:tcPr>
            <w:tcW w:type="dxa" w:w="2448"/>
            <w:vAlign w:val="center"/>
          </w:tcPr>
          <w:p>
            <w:r>
              <w:t>成功/拒绝/错误/超时/未完成均正确显示</w:t>
            </w:r>
          </w:p>
        </w:tc>
        <w:tc>
          <w:tcPr>
            <w:tcW w:type="dxa" w:w="2448"/>
            <w:vAlign w:val="center"/>
          </w:tcPr>
          <w:p>
            <w:r>
              <w:t>待开发</w:t>
            </w:r>
          </w:p>
        </w:tc>
      </w:tr>
      <w:tr>
        <w:tc>
          <w:tcPr>
            <w:tcW w:type="dxa" w:w="2448"/>
            <w:vAlign w:val="center"/>
          </w:tcPr>
          <w:p>
            <w:r>
              <w:t>P5</w:t>
            </w:r>
          </w:p>
        </w:tc>
        <w:tc>
          <w:tcPr>
            <w:tcW w:type="dxa" w:w="2448"/>
            <w:vAlign w:val="center"/>
          </w:tcPr>
          <w:p>
            <w:r>
              <w:t>大仓库可读性</w:t>
            </w:r>
          </w:p>
        </w:tc>
        <w:tc>
          <w:tcPr>
            <w:tcW w:type="dxa" w:w="2448"/>
            <w:vAlign w:val="center"/>
          </w:tcPr>
          <w:p>
            <w:r>
              <w:t>首屏可用，展开不崩溃，敏感信息不泄露</w:t>
            </w:r>
          </w:p>
        </w:tc>
        <w:tc>
          <w:tcPr>
            <w:tcW w:type="dxa" w:w="2448"/>
            <w:vAlign w:val="center"/>
          </w:tcPr>
          <w:p>
            <w:r>
              <w:t>待开发</w:t>
            </w:r>
          </w:p>
        </w:tc>
      </w:tr>
      <w:tr>
        <w:tc>
          <w:tcPr>
            <w:tcW w:type="dxa" w:w="2448"/>
            <w:vAlign w:val="center"/>
          </w:tcPr>
          <w:p>
            <w:r>
              <w:t>P6</w:t>
            </w:r>
          </w:p>
        </w:tc>
        <w:tc>
          <w:tcPr>
            <w:tcW w:type="dxa" w:w="2448"/>
            <w:vAlign w:val="center"/>
          </w:tcPr>
          <w:p>
            <w:r>
              <w:t>权限隔离</w:t>
            </w:r>
          </w:p>
        </w:tc>
        <w:tc>
          <w:tcPr>
            <w:tcW w:type="dxa" w:w="2448"/>
            <w:vAlign w:val="center"/>
          </w:tcPr>
          <w:p>
            <w:r>
              <w:t>跨租户、无权文件、导出均被阻断并留审计</w:t>
            </w:r>
          </w:p>
        </w:tc>
        <w:tc>
          <w:tcPr>
            <w:tcW w:type="dxa" w:w="2448"/>
            <w:vAlign w:val="center"/>
          </w:tcPr>
          <w:p>
            <w:r>
              <w:t>待开发</w:t>
            </w:r>
          </w:p>
        </w:tc>
      </w:tr>
    </w:tbl>
    <w:p>
      <w:r>
        <w:rPr>
          <w:b/>
          <w:color w:val="C00000"/>
        </w:rPr>
        <w:t>Stage 8 的真实执行前置：Matbox 正式源码仓库、Base Commit、测试 Feature/WorkPackage、CI Runner、固定扫描器/解析器/模型版本、Golden Set、测试租户与权限。当前环境没有这些开发事实，因此本文件不宣称 POC 已通过。</w:t>
      </w:r>
    </w:p>
    <w:p>
      <w:pPr>
        <w:pStyle w:val="Heading1"/>
      </w:pPr>
      <w:r>
        <w:rPr>
          <w:b w:val="0"/>
        </w:rPr>
        <w:t>11. 开发拆分与交付物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  <w:vAlign w:val="center"/>
          </w:tcPr>
          <w:p>
            <w:r>
              <w:rPr>
                <w:b/>
              </w:rPr>
              <w:t>WP</w:t>
            </w:r>
          </w:p>
        </w:tc>
        <w:tc>
          <w:tcPr>
            <w:tcW w:type="dxa" w:w="3264"/>
            <w:shd w:fill="D9EAF7"/>
            <w:vAlign w:val="center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3264"/>
            <w:shd w:fill="D9EAF7"/>
            <w:vAlign w:val="center"/>
          </w:tcPr>
          <w:p>
            <w:r>
              <w:rPr>
                <w:b/>
              </w:rPr>
              <w:t>完成定义</w:t>
            </w:r>
          </w:p>
        </w:tc>
      </w:tr>
      <w:tr>
        <w:tc>
          <w:tcPr>
            <w:tcW w:type="dxa" w:w="3264"/>
            <w:vAlign w:val="center"/>
          </w:tcPr>
          <w:p>
            <w:r>
              <w:t>WP-01</w:t>
            </w:r>
          </w:p>
        </w:tc>
        <w:tc>
          <w:tcPr>
            <w:tcW w:type="dxa" w:w="3264"/>
            <w:vAlign w:val="center"/>
          </w:tcPr>
          <w:p>
            <w:r>
              <w:t>View Contract</w:t>
            </w:r>
          </w:p>
        </w:tc>
        <w:tc>
          <w:tcPr>
            <w:tcW w:type="dxa" w:w="3264"/>
            <w:vAlign w:val="center"/>
          </w:tcPr>
          <w:p>
            <w:r>
              <w:t>字段、状态、置信度、降级规则冻结并有 schema 测试</w:t>
            </w:r>
          </w:p>
        </w:tc>
      </w:tr>
      <w:tr>
        <w:tc>
          <w:tcPr>
            <w:tcW w:type="dxa" w:w="3264"/>
            <w:vAlign w:val="center"/>
          </w:tcPr>
          <w:p>
            <w:r>
              <w:t>WP-02</w:t>
            </w:r>
          </w:p>
        </w:tc>
        <w:tc>
          <w:tcPr>
            <w:tcW w:type="dxa" w:w="3264"/>
            <w:vAlign w:val="center"/>
          </w:tcPr>
          <w:p>
            <w:r>
              <w:t>Projection API</w:t>
            </w:r>
          </w:p>
        </w:tc>
        <w:tc>
          <w:tcPr>
            <w:tcW w:type="dxa" w:w="3264"/>
            <w:vAlign w:val="center"/>
          </w:tcPr>
          <w:p>
            <w:r>
              <w:t>只读投影 API，复用现有权限与证据</w:t>
            </w:r>
          </w:p>
        </w:tc>
      </w:tr>
      <w:tr>
        <w:tc>
          <w:tcPr>
            <w:tcW w:type="dxa" w:w="3264"/>
            <w:vAlign w:val="center"/>
          </w:tcPr>
          <w:p>
            <w:r>
              <w:t>WP-03</w:t>
            </w:r>
          </w:p>
        </w:tc>
        <w:tc>
          <w:tcPr>
            <w:tcW w:type="dxa" w:w="3264"/>
            <w:vAlign w:val="center"/>
          </w:tcPr>
          <w:p>
            <w:r>
              <w:t>Finding UI</w:t>
            </w:r>
          </w:p>
        </w:tc>
        <w:tc>
          <w:tcPr>
            <w:tcW w:type="dxa" w:w="3264"/>
            <w:vAlign w:val="center"/>
          </w:tcPr>
          <w:p>
            <w:r>
              <w:t>总览、定位、证据抽屉</w:t>
            </w:r>
          </w:p>
        </w:tc>
      </w:tr>
      <w:tr>
        <w:tc>
          <w:tcPr>
            <w:tcW w:type="dxa" w:w="3264"/>
            <w:vAlign w:val="center"/>
          </w:tcPr>
          <w:p>
            <w:r>
              <w:t>WP-04</w:t>
            </w:r>
          </w:p>
        </w:tc>
        <w:tc>
          <w:tcPr>
            <w:tcW w:type="dxa" w:w="3264"/>
            <w:vAlign w:val="center"/>
          </w:tcPr>
          <w:p>
            <w:r>
              <w:t>Relation UI</w:t>
            </w:r>
          </w:p>
        </w:tc>
        <w:tc>
          <w:tcPr>
            <w:tcW w:type="dxa" w:w="3264"/>
            <w:vAlign w:val="center"/>
          </w:tcPr>
          <w:p>
            <w:r>
              <w:t>直接/传递/未知影响与来源</w:t>
            </w:r>
          </w:p>
        </w:tc>
      </w:tr>
      <w:tr>
        <w:tc>
          <w:tcPr>
            <w:tcW w:type="dxa" w:w="3264"/>
            <w:vAlign w:val="center"/>
          </w:tcPr>
          <w:p>
            <w:r>
              <w:t>WP-05</w:t>
            </w:r>
          </w:p>
        </w:tc>
        <w:tc>
          <w:tcPr>
            <w:tcW w:type="dxa" w:w="3264"/>
            <w:vAlign w:val="center"/>
          </w:tcPr>
          <w:p>
            <w:r>
              <w:t>Repair UX</w:t>
            </w:r>
          </w:p>
        </w:tc>
        <w:tc>
          <w:tcPr>
            <w:tcW w:type="dxa" w:w="3264"/>
            <w:vAlign w:val="center"/>
          </w:tcPr>
          <w:p>
            <w:r>
              <w:t>隔离修复、审批、补丁预览、复检状态</w:t>
            </w:r>
          </w:p>
        </w:tc>
      </w:tr>
      <w:tr>
        <w:tc>
          <w:tcPr>
            <w:tcW w:type="dxa" w:w="3264"/>
            <w:vAlign w:val="center"/>
          </w:tcPr>
          <w:p>
            <w:r>
              <w:t>WP-06</w:t>
            </w:r>
          </w:p>
        </w:tc>
        <w:tc>
          <w:tcPr>
            <w:tcW w:type="dxa" w:w="3264"/>
            <w:vAlign w:val="center"/>
          </w:tcPr>
          <w:p>
            <w:r>
              <w:t>Realtime</w:t>
            </w:r>
          </w:p>
        </w:tc>
        <w:tc>
          <w:tcPr>
            <w:tcW w:type="dxa" w:w="3264"/>
            <w:vAlign w:val="center"/>
          </w:tcPr>
          <w:p>
            <w:r>
              <w:t>事件订阅、重放、乱序、断线恢复</w:t>
            </w:r>
          </w:p>
        </w:tc>
      </w:tr>
      <w:tr>
        <w:tc>
          <w:tcPr>
            <w:tcW w:type="dxa" w:w="3264"/>
            <w:vAlign w:val="center"/>
          </w:tcPr>
          <w:p>
            <w:r>
              <w:t>WP-07</w:t>
            </w:r>
          </w:p>
        </w:tc>
        <w:tc>
          <w:tcPr>
            <w:tcW w:type="dxa" w:w="3264"/>
            <w:vAlign w:val="center"/>
          </w:tcPr>
          <w:p>
            <w:r>
              <w:t>Security/QA</w:t>
            </w:r>
          </w:p>
        </w:tc>
        <w:tc>
          <w:tcPr>
            <w:tcW w:type="dxa" w:w="3264"/>
            <w:vAlign w:val="center"/>
          </w:tcPr>
          <w:p>
            <w:r>
              <w:t>权限、脱敏、审计、性能和端到端验收</w:t>
            </w:r>
          </w:p>
        </w:tc>
      </w:tr>
    </w:tbl>
    <w:p>
      <w:pPr>
        <w:pStyle w:val="Heading1"/>
      </w:pPr>
      <w:r>
        <w:rPr>
          <w:b w:val="0"/>
        </w:rPr>
        <w:t>12. 最终验收标准</w:t>
      </w:r>
    </w:p>
    <w:p>
      <w:r>
        <w:rPr>
          <w:b w:val="0"/>
        </w:rPr>
        <w:t>只有同时满足以下条件才可称为完成：</w:t>
      </w:r>
    </w:p>
    <w:p>
      <w:pPr>
        <w:pStyle w:val="ListBullet"/>
      </w:pPr>
      <w:r>
        <w:t>每个 P0 finding 可追溯到真实 commit、文件、函数/行和原始证据，或明确显示不可定位原因。</w:t>
      </w:r>
    </w:p>
    <w:p>
      <w:pPr>
        <w:pStyle w:val="ListBullet"/>
      </w:pPr>
      <w:r>
        <w:t>影响关系可展开且每条边有来源与置信度；未知影响不会被隐藏。</w:t>
      </w:r>
    </w:p>
    <w:p>
      <w:pPr>
        <w:pStyle w:val="ListBullet"/>
      </w:pPr>
      <w:r>
        <w:t>修复必须经过隔离提交、人工控制和新一轮三 Gate；任何非 PASS 状态都不可伪装成通过。</w:t>
      </w:r>
    </w:p>
    <w:p>
      <w:pPr>
        <w:pStyle w:val="ListBullet"/>
      </w:pPr>
      <w:r>
        <w:t>跨租户与无权访问测试通过；源码、日志和模型上下文完成脱敏。</w:t>
      </w:r>
    </w:p>
    <w:p>
      <w:pPr>
        <w:pStyle w:val="ListBullet"/>
      </w:pPr>
      <w:r>
        <w:t>断线、乱序、超时、解析失败、修复引入新问题均有可见状态与审计证据。</w:t>
      </w:r>
    </w:p>
    <w:p>
      <w:pPr>
        <w:pStyle w:val="ListBullet"/>
      </w:pPr>
      <w:r>
        <w:t>Stage 8 真实 POC 通过后，才能将本专项文档升级为 Codex Ready 开发包；在此之前仅为开发指导版。</w:t>
      </w:r>
    </w:p>
    <w:p>
      <w:pPr>
        <w:pStyle w:val="Heading1"/>
      </w:pPr>
      <w:r>
        <w:rPr>
          <w:b w:val="0"/>
        </w:rPr>
        <w:t>附录 A：与现有正式质检文档的关系</w:t>
      </w:r>
    </w:p>
    <w:p>
      <w:r>
        <w:rPr>
          <w:b w:val="0"/>
        </w:rPr>
        <w:t>本专项是独立文档。现有正式质检文档继续作为代码质量、安全质量、证据、Gate、修复和发布的唯一事实源；本专项只读取并可视化这些事实，不替换、不复制、不合并。</w:t>
      </w:r>
    </w:p>
    <w:p>
      <w:pPr>
        <w:pStyle w:val="Heading1"/>
      </w:pPr>
      <w:r>
        <w:rPr>
          <w:b w:val="0"/>
        </w:rPr>
        <w:t>附录 B：当前结论</w:t>
      </w:r>
    </w:p>
    <w:p>
      <w:r>
        <w:rPr>
          <w:b w:val="0"/>
        </w:rPr>
        <w:t>选择“先做可视化投影层，再接真实修复闭环”，因为 Matbox 目前尚无开发源码。先冻结合同和验收矩阵，待首个真实仓库与 Base Commit 出现后执行 POC，能够避免把演示界面误称为已验证平台。</w:t>
      </w:r>
    </w:p>
    <w:p>
      <w:pPr>
        <w:pStyle w:val="Heading1"/>
      </w:pPr>
      <w:r>
        <w:t>13. 企业级交付补全项</w:t>
      </w:r>
    </w:p>
    <w:p>
      <w:r>
        <w:rPr>
          <w:b/>
        </w:rPr>
        <w:t>补齐部署、生产运行、质量、安全、AI、成本、供应商治理和 Codex 交付要求；仍不改变现有质检系统事实源。</w:t>
      </w:r>
    </w:p>
    <w:p>
      <w:pPr>
        <w:pStyle w:val="Heading1"/>
      </w:pPr>
      <w:r>
        <w:t>13.1 部署方案</w:t>
      </w:r>
    </w:p>
    <w:p>
      <w:pPr>
        <w:pStyle w:val="ListBullet"/>
      </w:pPr>
      <w:r>
        <w:t>开发：固定 Node/Python/解析器版本，使用脱敏 Golden Set。</w:t>
      </w:r>
    </w:p>
    <w:p>
      <w:pPr>
        <w:pStyle w:val="ListBullet"/>
      </w:pPr>
      <w:r>
        <w:t>测试：独立租户、事件主题、源码挂载和 CI Runner。</w:t>
      </w:r>
    </w:p>
    <w:p>
      <w:pPr>
        <w:pStyle w:val="ListBullet"/>
      </w:pPr>
      <w:r>
        <w:t>生产：Visualization API、投影消费者、关系查询服务和前端独立部署；投影只读，不拥有 Gate 写权限。</w:t>
      </w:r>
    </w:p>
    <w:p>
      <w:pPr>
        <w:pStyle w:val="ListBullet"/>
      </w:pPr>
      <w:r>
        <w:t>发布：沿用现有 Release 流程，配置/模型/解析器/规则/前端版本写入 BaselineID。</w:t>
      </w:r>
    </w:p>
    <w:p>
      <w:pPr>
        <w:pStyle w:val="ListBullet"/>
      </w:pPr>
      <w:r>
        <w:t>灾备：投影可由 QualityRun/Evidence 重建；事件支持幂等、重放和死信。</w:t>
      </w:r>
    </w:p>
    <w:p>
      <w:pPr>
        <w:pStyle w:val="Heading1"/>
      </w:pPr>
      <w:r>
        <w:t>13.2 生产运行与 SLO</w:t>
      </w:r>
    </w:p>
    <w:p>
      <w:pPr>
        <w:pStyle w:val="ListBullet"/>
      </w:pPr>
      <w:r>
        <w:t>核心查询目标 99.9%；事件到达 P95 ≤5 秒（待 POC 校准）。</w:t>
      </w:r>
    </w:p>
    <w:p>
      <w:pPr>
        <w:pStyle w:val="ListBullet"/>
      </w:pPr>
      <w:r>
        <w:t>按租户、仓库、finding、关系边和并发会话压测；超限分层加载和限流。</w:t>
      </w:r>
    </w:p>
    <w:p>
      <w:pPr>
        <w:pStyle w:val="ListBullet"/>
      </w:pPr>
      <w:r>
        <w:t>告警覆盖投影延迟、乱序、索引失败、定位降级、越权拒绝、复检卡住。</w:t>
      </w:r>
    </w:p>
    <w:p>
      <w:pPr>
        <w:pStyle w:val="ListBullet"/>
      </w:pPr>
      <w:r>
        <w:t>运行手册覆盖断线、重建、回滚、死信重放、泄漏处置和模型故障切换。</w:t>
      </w:r>
    </w:p>
    <w:p>
      <w:pPr>
        <w:pStyle w:val="Heading1"/>
      </w:pPr>
      <w:r>
        <w:t>13.3 质量与测试体系</w:t>
      </w:r>
    </w:p>
    <w:p>
      <w:pPr>
        <w:pStyle w:val="ListBullet"/>
      </w:pPr>
      <w:r>
        <w:t>单元：schema、状态、降级定位、权限、脱敏、幂等。</w:t>
      </w:r>
    </w:p>
    <w:p>
      <w:pPr>
        <w:pStyle w:val="ListBullet"/>
      </w:pPr>
      <w:r>
        <w:t>契约：与 Quality/Evidence/Repair/Release API 版本兼容。</w:t>
      </w:r>
    </w:p>
    <w:p>
      <w:pPr>
        <w:pStyle w:val="ListBullet"/>
      </w:pPr>
      <w:r>
        <w:t>端到端：finding→定位→影响→修复→新 commit→三 Gate→展示。</w:t>
      </w:r>
    </w:p>
    <w:p>
      <w:pPr>
        <w:pStyle w:val="ListBullet"/>
      </w:pPr>
      <w:r>
        <w:t>性能：10 万 finding、百万级关系边、并发租户和大文件阅读。</w:t>
      </w:r>
    </w:p>
    <w:p>
      <w:pPr>
        <w:pStyle w:val="ListBullet"/>
      </w:pPr>
      <w:r>
        <w:t>安全：跨租户、IDOR、提示词注入、源码外泄、恶意 SARIF、路径穿越。</w:t>
      </w:r>
    </w:p>
    <w:p>
      <w:pPr>
        <w:pStyle w:val="Heading1"/>
      </w:pPr>
      <w:r>
        <w:t>13.4 AI 接入规范</w:t>
      </w:r>
    </w:p>
    <w:p>
      <w:pPr>
        <w:pStyle w:val="ListBullet"/>
      </w:pPr>
      <w:r>
        <w:t>仅发送最小必要且已脱敏上下文；记录 ModelID、版本、模板版本和输入哈希。</w:t>
      </w:r>
    </w:p>
    <w:p>
      <w:pPr>
        <w:pStyle w:val="ListBullet"/>
      </w:pPr>
      <w:r>
        <w:t>输出结构化为 explanation、root_cause、patch、risk、uncertainty。</w:t>
      </w:r>
    </w:p>
    <w:p>
      <w:pPr>
        <w:pStyle w:val="ListBullet"/>
      </w:pPr>
      <w:r>
        <w:t>补丁必须人工审批并经三 Gate；模型无权写 GateDecision/Evidence/Release。</w:t>
      </w:r>
    </w:p>
    <w:p>
      <w:pPr>
        <w:pStyle w:val="ListBullet"/>
      </w:pPr>
      <w:r>
        <w:t>供应商不可用时降级为规则证据和人工修复。</w:t>
      </w:r>
    </w:p>
    <w:p>
      <w:pPr>
        <w:pStyle w:val="Heading1"/>
      </w:pPr>
      <w:r>
        <w:t>13.5 成本模型</w:t>
      </w:r>
    </w:p>
    <w:p>
      <w:pPr>
        <w:pStyle w:val="ListBullet"/>
      </w:pPr>
      <w:r>
        <w:t>固定：前端/API/投影、关系索引、事件日志、CI Runner。</w:t>
      </w:r>
    </w:p>
    <w:p>
      <w:pPr>
        <w:pStyle w:val="ListBullet"/>
      </w:pPr>
      <w:r>
        <w:t>变量：解析、建图、源码读取、AI token、质量 Gate 重跑。</w:t>
      </w:r>
    </w:p>
    <w:p>
      <w:pPr>
        <w:pStyle w:val="ListBullet"/>
      </w:pPr>
      <w:r>
        <w:t>计量：tenant、repo、commit、文件/finding/关系边、token、Runner 分钟、存储 GB。</w:t>
      </w:r>
    </w:p>
    <w:p>
      <w:pPr>
        <w:pStyle w:val="ListBullet"/>
      </w:pPr>
      <w:r>
        <w:t>预算：租户配额、token 上限、并发限制、超时取消和费用告警；不得跳过复检。</w:t>
      </w:r>
    </w:p>
    <w:p>
      <w:pPr>
        <w:pStyle w:val="ListBullet"/>
      </w:pPr>
      <w:r>
        <w:t>POC 输出单次展示、关系展开、AI 修复和完整复检实际成本。</w:t>
      </w:r>
    </w:p>
    <w:p>
      <w:pPr>
        <w:pStyle w:val="Heading1"/>
      </w:pPr>
      <w:r>
        <w:t>13.6 技术选型与淘汰原则</w:t>
      </w:r>
    </w:p>
    <w:p>
      <w:pPr>
        <w:pStyle w:val="ListBullet"/>
      </w:pPr>
      <w:r>
        <w:t>采用现有事实系统+只读投影+Tree-sitter/LSP/SCIP/LSIF 适配+虚拟化源码/关系 UI。</w:t>
      </w:r>
    </w:p>
    <w:p>
      <w:pPr>
        <w:pStyle w:val="ListBullet"/>
      </w:pPr>
      <w:r>
        <w:t>CodeSee/CodeScene 仅借鉴交互，不作为事实源。</w:t>
      </w:r>
    </w:p>
    <w:p>
      <w:pPr>
        <w:pStyle w:val="ListBullet"/>
      </w:pPr>
      <w:r>
        <w:t>适配器可替换，保留证据来源；无行级证据、无隔离、不可重放、License 不适配或维护停滞则淘汰。</w:t>
      </w:r>
    </w:p>
    <w:p>
      <w:pPr>
        <w:pStyle w:val="Heading1"/>
      </w:pPr>
      <w:r>
        <w:t>14. Codex 开发交付合同</w:t>
      </w:r>
    </w:p>
    <w:p>
      <w:r>
        <w:rPr>
          <w:b w:val="0"/>
        </w:rPr>
        <w:t>每个 WP 绑定 DocID、WPID、角色、BaselineID、输入/输出契约、源码路径、测试集、验收脚本和证据目录。</w:t>
      </w:r>
    </w:p>
    <w:p>
      <w:pPr>
        <w:pStyle w:val="ListBullet"/>
      </w:pPr>
      <w:r>
        <w:t>不得擅改现有 Gate 事实模型。</w:t>
      </w:r>
    </w:p>
    <w:p>
      <w:pPr>
        <w:pStyle w:val="ListBullet"/>
      </w:pPr>
      <w:r>
        <w:t>提交注明 Base Commit、文件、风险、测试命令和结果。</w:t>
      </w:r>
    </w:p>
    <w:p>
      <w:pPr>
        <w:pStyle w:val="ListBullet"/>
      </w:pPr>
      <w:r>
        <w:t>唯一 Integration/Merge 入口，合并后新 Baseline/ReleaseArtifact 重跑三 Gate。</w:t>
      </w:r>
    </w:p>
    <w:p>
      <w:pPr>
        <w:pStyle w:val="ListBullet"/>
      </w:pPr>
      <w:r>
        <w:t>无真实源码前只能交付文档/脚手架，不得声称源码完成或验收通过。</w:t>
      </w:r>
    </w:p>
    <w:p>
      <w:pPr>
        <w:pStyle w:val="Heading1"/>
      </w:pPr>
      <w:r>
        <w:t>15. 阶段状态与缺口清单</w:t>
      </w:r>
    </w:p>
    <w:p>
      <w:r>
        <w:rPr>
          <w:b/>
          <w:color w:val="C00000"/>
        </w:rPr>
        <w:t>需求、全球资料、Git 候选、真实反馈、分级、源码审查和架构边界已完成；Stage 8 真实 POC 被无 Matbox 源码仓库/Base Commit 阻塞。本文件覆盖开发设计，但尚未达到 Codex Ready 或最终验收。</w:t>
      </w:r>
    </w:p>
    <w:p>
      <w:pPr>
        <w:pStyle w:val="ListBullet"/>
      </w:pPr>
      <w:r>
        <w:t>待提供正式仓库路径、Base Commit、测试 Feature/WorkPackage、CI Runner、Golden Set、测试租户和权限。</w:t>
      </w:r>
    </w:p>
    <w:p>
      <w:pPr>
        <w:pStyle w:val="ListBullet"/>
      </w:pPr>
      <w:r>
        <w:t>提供后执行 Stage 8 六项 POC、修复、证据归档和 Stage 9/10 冻结。</w:t>
      </w:r>
    </w:p>
    <w:p>
      <w:pPr>
        <w:pStyle w:val="ListBullet"/>
      </w:pPr>
      <w:r>
        <w:t>源码出现前可开发 View Contract、Projection mock、前端原型和夹具，但不等于真实验收。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微软雅黑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微软雅黑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微软雅黑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