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LOC-F015 · Catalog Release / Cache / Fallback / Outage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LOC-F015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wp/loc-f015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LOC-F015 —— Catalog Release / Cache / Fallback / Outage。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LOC-F015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每次付费翻译产生 usage/cost ref</w:t>
      </w:r>
    </w:p>
    <w:p>
      <w:pPr>
        <w:pStyle w:val="ListBullet"/>
      </w:pPr>
      <w:r>
        <w:t>Then 重复 cache hit/已存在译文不新增 provider cost。</w:t>
      </w:r>
    </w:p>
    <w:p>
      <w:pPr>
        <w:pStyle w:val="ListBullet"/>
      </w:pPr>
      <w:r>
        <w:t>原文（DEV.docx §9，一字未改）：每次付费翻译产生 usage/cost ref；重复 cache hit/已存在译文不新增 provider cost。</w:t>
      </w:r>
    </w:p>
    <w:p>
      <w:r>
        <w:t>AC-LOC-018（归属来源：关键词推导、端点表）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Catalog Release 可回滚到 Previous Stable</w:t>
      </w:r>
    </w:p>
    <w:p>
      <w:pPr>
        <w:pStyle w:val="ListBullet"/>
      </w:pPr>
      <w:r>
        <w:t>Then 回滚不改 Product/Page/用户事实。</w:t>
      </w:r>
    </w:p>
    <w:p>
      <w:pPr>
        <w:pStyle w:val="ListBullet"/>
      </w:pPr>
      <w:r>
        <w:t>原文（DEV.docx §9，一字未改）：Catalog Release 可回滚到 Previous Stable；回滚不改 Product/Page/用户事实。</w:t>
      </w:r>
    </w:p>
    <w:p>
      <w:r>
        <w:t>AC-LOC-020（归属来源：端点表）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GoodBarber 不被标记为 same-app dynamic locale runtime</w:t>
      </w:r>
    </w:p>
    <w:p>
      <w:pPr>
        <w:pStyle w:val="ListBullet"/>
      </w:pPr>
      <w:r>
        <w:t>Then 相关能力若启用必须显式 Channel limitation。</w:t>
      </w:r>
    </w:p>
    <w:p>
      <w:pPr>
        <w:pStyle w:val="ListBullet"/>
      </w:pPr>
      <w:r>
        <w:t>原文（DEV.docx §9，一字未改）：GoodBarber 不被标记为 same-app dynamic locale runtime；相关能力若启用必须显式 Channel limitation。</w:t>
      </w:r>
    </w:p>
    <w:p>
      <w:r>
        <w:t>AC-LOC-021（归属来源：端点表）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preferred=vi-VN、locale=vi-VN 的客户开启销售 AI：首轮及后续默认越南语</w:t>
      </w:r>
    </w:p>
    <w:p>
      <w:pPr>
        <w:pStyle w:val="ListBullet"/>
      </w:pPr>
      <w:r>
        <w:t>Then 不经过“强制翻中文再翻回”的主链。</w:t>
      </w:r>
    </w:p>
    <w:p>
      <w:pPr>
        <w:pStyle w:val="ListBullet"/>
      </w:pPr>
      <w:r>
        <w:t>原文（DEV.docx §9，一字未改）：preferred=vi-VN、locale=vi-VN 的客户开启销售 AI：首轮及后续默认越南语；不经过“强制翻中文再翻回”的主链。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AC-LOC-023（归属来源：关键词推导、端点表）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Tenant/Brand terminology 规定特定 SKU/材料术语后，客服/销售/内容 AI 在 zh/en/vi 输出中遵守已发布 terminology profile</w:t>
      </w:r>
    </w:p>
    <w:p>
      <w:pPr>
        <w:pStyle w:val="ListBullet"/>
      </w:pPr>
      <w:r>
        <w:t>Then 冲突按受控 precedence 处理。</w:t>
      </w:r>
    </w:p>
    <w:p>
      <w:pPr>
        <w:pStyle w:val="ListBullet"/>
      </w:pPr>
      <w:r>
        <w:t>原文（DEV.docx §9，一字未改）：Tenant/Brand terminology 规定特定 SKU/材料术语后，客服/销售/内容 AI 在 zh/en/vi 输出中遵守已发布 terminology profile；冲突按受控 precedence 处理。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Runtime retry/resume 不改变原 Run 的 LanguageContext/policy_version</w:t>
      </w:r>
    </w:p>
    <w:p>
      <w:pPr>
        <w:pStyle w:val="ListBullet"/>
      </w:pPr>
      <w:r>
        <w:t>Then 用户显式切换会话语言后才生成新 context revision。</w:t>
      </w:r>
    </w:p>
    <w:p>
      <w:pPr>
        <w:pStyle w:val="ListBullet"/>
      </w:pPr>
      <w:r>
        <w:t>原文（DEV.docx §9，一字未改）：AI Runtime retry/resume 不改变原 Run 的 LanguageContext/policy_version；用户显式切换会话语言后才生成新 context revision。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/loc/catalog/{locale}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/loc/catalog/{version}/publish</w:t>
            </w:r>
          </w:p>
        </w:tc>
        <w:tc>
          <w:tcPr>
            <w:tcW w:type="dxa" w:w="2880"/>
          </w:tcPr>
          <w:p>
            <w:r>
              <w:t>catalog_version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f015/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