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LOC-F019 · AI Language Quality Gate / Agent Language Tooling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LOC-F019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LOC-F019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 / RELEASE_GATE_OPEN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https://github.com/felixapex/matbox.git</w:t>
        <w:br/>
        <w:t>cd matbox</w:t>
        <w:br/>
        <w:t>git checkout -b wp/loc-f019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LOC-F019 —— AI Language Quality Gate / Agent Language Tooling。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wp/loc-f019，从下面那个基线切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2d280073b1da99dbb18a929b438563ab97c53a39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LOC-F019：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LOC-F019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AC-LOC-027（归属来源：关键词推导、端点表）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外发内容若修改 SKU/价格/数量/尺寸/订单状态等 canonical facts，Language Quality Gate 必须 Hard Fail</w:t>
      </w:r>
    </w:p>
    <w:p>
      <w:pPr>
        <w:pStyle w:val="ListBullet"/>
      </w:pPr>
      <w:r>
        <w:t>Then 不能以“语句更自然”为理由放行。</w:t>
      </w:r>
    </w:p>
    <w:p>
      <w:pPr>
        <w:pStyle w:val="ListBullet"/>
      </w:pPr>
      <w:r>
        <w:t>原文（DEV.docx §9，一字未改）：AI 外发内容若修改 SKU/价格/数量/尺寸/订单状态等 canonical facts，Language Quality Gate 必须 Hard Fail；不能以“语句更自然”为理由放行。</w:t>
      </w:r>
    </w:p>
    <w:p>
      <w:r>
        <w:t>AC-LOC-032（归属来源：人裁（附理由）、关键词推导、端点表）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相同 Golden Challenge Set 在 zh/en/vi 上执行：语言正确、术语、事实保真、品牌语气、Locale、工具失败恢复均有独立 PASS/FAIL 与 Evidence。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§9，一字未改）：相同 Golden Challenge Set 在 zh/en/vi 上执行：语言正确、术语、事实保真、品牌语气、Locale、工具失败恢复均有独立 PASS/FAIL 与 Evidence。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@Tag("AC-LOC-027")                    // 方便单独跑：mvn test -Dgroups=AC-LOC-027</w:t>
        <w:br/>
        <w:t>void locT027_describeWhatThisCriterionVerifies()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/loc/quality/validate</w:t>
            </w:r>
          </w:p>
        </w:tc>
        <w:tc>
          <w:tcPr>
            <w:tcW w:type="dxa" w:w="2880"/>
          </w:tcPr>
          <w:p>
            <w:r>
              <w:t>content_or_message_ref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f019/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