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F-DQ-007 · 架构/契约/Schema 守卫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F-DQ-007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2026-09-09 03:08（仓库 7e4581d）·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F-DQ-007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架构/契约/Schema 守卫（Matbox Architecture / Contract / Schema Guard）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 + G-STAGE10-CONFLICT-001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WP-DQ-03（同批：F004 + F007）—— OpenGrep adapter + Matbox architecture/contract guard。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Platform Architecture Owner；Implementer: UNASSIGNED_STAGE10；Source Reviewer: Architecture + Security Reviewer；Acceptance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wp/F-DQ-007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目标：补足通用扫描器解决不了的 Matbox 语义规则：Protected Scope、Contract/Schema/Migration、Shared Capability、Provider/Secret 边界。</w:t>
      </w:r>
    </w:p>
    <w:p>
      <w:r>
        <w:t>In Scope：manifest/registry diff、API schema、DB migration ownership、queue/worker/shared config/lockfile、forbidden dependency rules。</w:t>
      </w:r>
    </w:p>
    <w:p>
      <w:r>
        <w:t>Out of Scope：不替代 RC5 派发前语义冲突检查；不重建业务 Domain SoT。</w:t>
      </w:r>
    </w:p>
    <w:p>
      <w:r>
        <w:t>入口 / Route：CI backend；rule/manifest repository</w:t>
      </w:r>
    </w:p>
    <w:p>
      <w:r>
        <w:t>依赖：RC5 Canonical Registry；F-DQ-004；F-RELEASE-001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backend/modules/dev-quality/src/main/java/com/matbox/devquality/adapters/architecture-guard/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ListBullet"/>
      </w:pPr>
      <w:r>
        <w:t>Allowed / N/A：无独立用户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Backend/API/Service｜Applicable · Architecture Guard</w:t>
      </w:r>
    </w:p>
    <w:p>
      <w:pPr>
        <w:pStyle w:val="ListBullet"/>
      </w:pPr>
      <w:r>
        <w:t>Allowed / N/A：read WorkPackage allowed/protected scope + repo diff；运行 rules/checkers</w:t>
      </w:r>
    </w:p>
    <w:p>
      <w:pPr>
        <w:pStyle w:val="ListBullet"/>
      </w:pPr>
      <w:r>
        <w:t>Protected：不得自行修改 Registry 纠正冲突</w:t>
      </w:r>
    </w:p>
    <w:p>
      <w:pPr>
        <w:pStyle w:val="ListBullet"/>
      </w:pPr>
      <w:r>
        <w:t>Contract / Dependency：ArchitectureCheckRequest/Result</w:t>
      </w:r>
    </w:p>
    <w:p>
      <w:pPr>
        <w:pStyle w:val="ListBullet"/>
      </w:pPr>
      <w:r>
        <w:t>Acceptance / Test / Evidence：越 Protected Scope、重复 API/table/migration/worker/shared capability 必阻断。</w:t>
      </w:r>
    </w:p>
    <w:p>
      <w:pPr>
        <w:pStyle w:val="ListBullet"/>
      </w:pPr>
      <w:r>
        <w:t>Transaction / Idempotency / Retry / Recovery：Guard 默认只读 Canonical Registry/Repo snapshot，不创建第二业务事务；规则结果以 commit+registry revision+rulepack digest 幂等；Registry/Schema/manifest 缺失或漂移直接 ERROR/REVALIDATION_REQUIRED；修复依赖后从冻结 snapshot 重跑，不用旧结果恢复。</w:t>
      </w:r>
    </w:p>
    <w:p>
      <w:pPr>
        <w:pStyle w:val="Heading3"/>
      </w:pPr>
      <w:r>
        <w:t>Data/DB/Migration｜Applicable · Architecture Owner</w:t>
      </w:r>
    </w:p>
    <w:p>
      <w:pPr>
        <w:pStyle w:val="ListBullet"/>
      </w:pPr>
      <w:r>
        <w:t>Allowed / N/A：只读取 Canonical Registry refs；必要 checker cache</w:t>
      </w:r>
    </w:p>
    <w:p>
      <w:pPr>
        <w:pStyle w:val="ListBullet"/>
      </w:pPr>
      <w:r>
        <w:t>Protected：不能建立第二 registry/table owner</w:t>
      </w:r>
    </w:p>
    <w:p>
      <w:pPr>
        <w:pStyle w:val="ListBullet"/>
      </w:pPr>
      <w:r>
        <w:t>Contract / Dependency：RegistryRef + schema digest</w:t>
      </w:r>
    </w:p>
    <w:p>
      <w:pPr>
        <w:pStyle w:val="ListBullet"/>
      </w:pPr>
      <w:r>
        <w:t>Acceptance / Test / Evidence：schema/contract/migration digest 可复核。</w:t>
      </w:r>
    </w:p>
    <w:p>
      <w:pPr>
        <w:pStyle w:val="Heading3"/>
      </w:pPr>
      <w:r>
        <w:t>Async/Runtime｜Applicable · Shared Runtime</w:t>
      </w:r>
    </w:p>
    <w:p>
      <w:pPr>
        <w:pStyle w:val="ListBullet"/>
      </w:pPr>
      <w:r>
        <w:t>Allowed / N/A：大 schema graph diff 可异步</w:t>
      </w:r>
    </w:p>
    <w:p>
      <w:pPr>
        <w:pStyle w:val="ListBullet"/>
      </w:pPr>
      <w:r>
        <w:t>Protected：不能和 RC5 冲突检查形成双写状态</w:t>
      </w:r>
    </w:p>
    <w:p>
      <w:pPr>
        <w:pStyle w:val="ListBullet"/>
      </w:pPr>
      <w:r>
        <w:t>Contract / Dependency：read-only check job</w:t>
      </w:r>
    </w:p>
    <w:p>
      <w:pPr>
        <w:pStyle w:val="ListBullet"/>
      </w:pPr>
      <w:r>
        <w:t>Acceptance / Test / Evidence：same inputs deterministic；错误 fail-closed。</w:t>
      </w:r>
    </w:p>
    <w:p>
      <w:pPr>
        <w:pStyle w:val="Heading3"/>
      </w:pPr>
      <w:r>
        <w:t>Provider/External｜Applicable · OpenGrep + native checkers</w:t>
      </w:r>
    </w:p>
    <w:p>
      <w:pPr>
        <w:pStyle w:val="ListBullet"/>
      </w:pPr>
      <w:r>
        <w:t>Allowed / N/A：静态规则可调用 OpenGrep；结构规则用 deterministic parser</w:t>
      </w:r>
    </w:p>
    <w:p>
      <w:pPr>
        <w:pStyle w:val="ListBullet"/>
      </w:pPr>
      <w:r>
        <w:t>Protected：禁止 LLM 做 Hard Gate 唯一判定</w:t>
      </w:r>
    </w:p>
    <w:p>
      <w:pPr>
        <w:pStyle w:val="ListBullet"/>
      </w:pPr>
      <w:r>
        <w:t>Contract / Dependency：CheckerAdapter contract</w:t>
      </w:r>
    </w:p>
    <w:p>
      <w:pPr>
        <w:pStyle w:val="ListBullet"/>
      </w:pPr>
      <w:r>
        <w:t>Acceptance / Test / Evidence：确定性规则不依赖 AI。</w:t>
      </w:r>
    </w:p>
    <w:p>
      <w:pPr>
        <w:pStyle w:val="Heading3"/>
      </w:pPr>
      <w:r>
        <w:t>Infra/Config｜Applicable · Platform Config</w:t>
      </w:r>
    </w:p>
    <w:p>
      <w:pPr>
        <w:pStyle w:val="ListBullet"/>
      </w:pPr>
      <w:r>
        <w:t>Allowed / N/A：protected namespaces、owners、rule pack version</w:t>
      </w:r>
    </w:p>
    <w:p>
      <w:pPr>
        <w:pStyle w:val="ListBullet"/>
      </w:pPr>
      <w:r>
        <w:t>Protected：禁止每 Feature 自定义绕过</w:t>
      </w:r>
    </w:p>
    <w:p>
      <w:pPr>
        <w:pStyle w:val="ListBullet"/>
      </w:pPr>
      <w:r>
        <w:t>Contract / Dependency：ArchitecturePolicyVersion</w:t>
      </w:r>
    </w:p>
    <w:p>
      <w:pPr>
        <w:pStyle w:val="ListBullet"/>
      </w:pPr>
      <w:r>
        <w:t>Acceptance / Test / Evidence：变化触发旧 PASS 失效。</w:t>
      </w:r>
    </w:p>
    <w:p>
      <w:pPr>
        <w:pStyle w:val="Heading3"/>
      </w:pPr>
      <w:r>
        <w:t>Tests/Observability｜Applicable · Architecture QA</w:t>
      </w:r>
    </w:p>
    <w:p>
      <w:pPr>
        <w:pStyle w:val="ListBullet"/>
      </w:pPr>
      <w:r>
        <w:t>Allowed / N/A：duplicate API/table/migration、direct Provider SDK、raw secret、forbidden queue fixtures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Dependency：ArchitectureChallengeSet</w:t>
      </w:r>
    </w:p>
    <w:p>
      <w:pPr>
        <w:pStyle w:val="ListBullet"/>
      </w:pPr>
      <w:r>
        <w:t>Acceptance / Test / Evidence：全部固定冲突 100% 阻断。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DQ-T022</w:t>
            </w:r>
          </w:p>
        </w:tc>
        <w:tc>
          <w:tcPr>
            <w:tcW w:type="dxa" w:w="2880"/>
          </w:tcPr>
          <w:p>
            <w:r>
              <w:t>代码质检 PASS，但安全质检发现 Secret/SAST/SCA/P0 架构风险</w:t>
            </w:r>
          </w:p>
        </w:tc>
        <w:tc>
          <w:tcPr>
            <w:tcW w:type="dxa" w:w="2880"/>
          </w:tcPr>
          <w:p>
            <w:r>
              <w:t>SECURITY_GATE=DENY；不得因为前一 Gate PASS 或后续测试通过而合并；返修后代码/安全/测试全部重跑。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p>
      <w:r>
        <w:t>本功能不直接对外暴露端点（由其他功能的端点驱动）。完整端点清单见总账 §4.3。</w:t>
      </w:r>
    </w:p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t>本功能不拥有数据表（只读别人的，或不落库）。六个 Own 数据模型的完整 DDL 见总账 §4.10。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  architecture-guard/   # F-DQ-007（依赖 rc5-registry-client）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BE-07 ArchitectureGuard（Registry diff + Protected Scope校验器）（F-DQ-007）</w:t>
      </w:r>
    </w:p>
    <w:p>
      <w:pPr>
        <w:pStyle w:val="Heading3"/>
      </w:pPr>
      <w:r>
        <w:t>5.4b Provider Adapter 接口规范（你是适配器，这就是你要实现的契约）</w:t>
      </w:r>
    </w:p>
    <w:p>
      <w:pPr>
        <w:ind w:left="360"/>
      </w:pPr>
      <w:r>
        <w:rPr>
          <w:i/>
          <w:color w:val="555555"/>
        </w:rPr>
        <w:t>上面 5.1 里你没有自己的端点、5.2 里你没有自己的表——因为适配器不直接对外暴露，是被 F-DQ-001 调度、把结果交给 F-DQ-002 归一化的。你要照着写的是下面这个接口。</w:t>
      </w:r>
    </w:p>
    <w:p>
      <w:r>
        <w:t>所有5个外部工具（及F-DQ-005过渡期新增的Gitleaks并行适配器）统一实现同一个 ScannerAdapter 接口，禁止让任何一个工具的原生schema渗透进Matbox Domain（Own/Reuse/Must Not Rebuild第65行原则）：</w:t>
      </w:r>
    </w:p>
    <w:p>
      <w:r>
        <w:rPr>
          <w:rFonts w:ascii="Consolas" w:hAnsi="Consolas"/>
          <w:color w:val="333333"/>
          <w:sz w:val="17"/>
        </w:rPr>
        <w:t>ScannerAdapter接口（伪代码/逻辑契约，非某语言绑定）:</w:t>
        <w:br/>
        <w:t xml:space="preserve">  submit(target: ScanTarget, config: AdapterConfig, idempotencyKey: string) -&gt; AdapterRunHandle</w:t>
        <w:br/>
        <w:t xml:space="preserve">    # target: {commit, diffScope|fullScope, workPackageId}</w:t>
        <w:br/>
        <w:t xml:space="preserve">    # config: {toolVersion固定版本, configDigest, timeoutMs}</w:t>
        <w:br/>
        <w:t xml:space="preserve">    # 返回句柄，不阻塞等待结果</w:t>
        <w:br/>
        <w:br/>
        <w:t xml:space="preserve">  poll(handle: AdapterRunHandle) -&gt; AdapterStatus</w:t>
        <w:br/>
        <w:t xml:space="preserve">    # enum: SUBMITTED | RUNNING | COMPLETED | SCANNER_ERROR | TIMEOUT</w:t>
        <w:br/>
        <w:t xml:space="preserve">    # SonarQube场景专用：额外区分 CE_PENDING | CE_SUCCESS | CE_FAIL | CE_CANCELLED（不得把CE_PENDING当PASS）</w:t>
        <w:br/>
        <w:br/>
        <w:t xml:space="preserve">  fetchResult(handle: AdapterRunHandle) -&gt; AdapterResult</w:t>
        <w:br/>
        <w:t xml:space="preserve">    # {</w:t>
        <w:br/>
        <w:t xml:space="preserve">    #   rawEvidenceRef: string,        # 原始报告，不可变，写入F-OBS-001</w:t>
        <w:br/>
        <w:t xml:space="preserve">    #   normalizedFindings: NormalizedFinding[],</w:t>
        <w:br/>
        <w:t xml:space="preserve">    #   errorClass: ScannerErrorClass?, # PARSER_ERROR | CONFIG_ERROR | ENGINE_CRASH | DB_UPDATE_ERROR | NETWORK_ERROR</w:t>
        <w:br/>
        <w:t xml:space="preserve">    #   toolVersion: string,</w:t>
        <w:br/>
        <w:t xml:space="preserve">    #   toolCommit_or_digest: string,</w:t>
        <w:br/>
        <w:t xml:space="preserve">    #   isPartial: boolean             # 部分扫描完成时必须显式标注，禁止当0 findings处理</w:t>
        <w:br/>
        <w:t xml:space="preserve">    # }</w:t>
        <w:br/>
        <w:br/>
        <w:t xml:space="preserve">  cancel(handle: AdapterRunHandle) -&gt; void</w:t>
        <w:br/>
        <w:br/>
        <w:t># 具体Adapter差异化处理点（各自Adapter内部实现，不影响外部接口契约）：</w:t>
        <w:br/>
        <w:t># - SonarAdapter: submit=触发scanner+等待analysis上传；poll需持续轮询CE task直到terminal状态</w:t>
        <w:br/>
        <w:t># - OpenGrepAdapter: submit=本地/容器内执行CLI，区分core/parser fatal error与finding</w:t>
        <w:br/>
        <w:t># - BetterleaksAdapter + GitleaksAdapter（过渡期并行）: 两者的normalizedFindings按fingerprint合并去重，</w:t>
        <w:br/>
        <w:t>#   任一命中即计入blocking集合（并集判定，见第10节）</w:t>
        <w:br/>
        <w:t># - TrivyAdapter: submit需区分fs/image/config/sbom四种target类型，分别映射到不同扫描模式</w:t>
        <w:br/>
        <w:t># - OPAEvaluator: 不走上述submit/poll/fetchResult异步模型，是同步/短时评估：</w:t>
        <w:br/>
        <w:t>#   evaluate(input: GatePolicyInput, policyBundleRef: string) -&gt; GateDecision</w:t>
        <w:br/>
        <w:t>#   deny=DENY；rego/eval error=POLICY_ERROR；两者都不得fail-open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见 [FINAL 文档 §4.18](../../Matbox_代码持续质检与安全自检_开发文档_FINAL.md)：技术栈（Java/Spring Boot + PostgreSQL + Flyway）、四步起环境、三条冒烟验证。注意那一节是规格不是实测——Matbox 真代码库还没有第一行代码，你是第一个跑它的人，跑通后请把真实耗时回填。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第9节表21；七类施工面来自第10节；验收标准来自第13节（归属为推导）；可写路径来自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