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LOC-F003 · Localization Catalog &amp; Key Governance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LOC-F003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wp/loc-f003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LOC-F003 —— Localization Catalog &amp; Key Governance。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wp/loc-f003，从下面那个基线切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LOC-F003：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LOC-F003 Owner</w:t>
      </w:r>
    </w:p>
    <w:p>
      <w:pPr>
        <w:pStyle w:val="Heading3"/>
      </w:pPr>
      <w:r>
        <w:t>Data/DB/Migration｜Applicable · 见 5.2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AC-LOC-004（归属来源：关键词推导）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P0 页面必须翻译 UI String completeness=100%</w:t>
      </w:r>
    </w:p>
    <w:p>
      <w:pPr>
        <w:pStyle w:val="ListBullet"/>
      </w:pPr>
      <w:r>
        <w:t>Then Brand/SKU/用户原文等 exempt 明确登记。</w:t>
      </w:r>
    </w:p>
    <w:p>
      <w:pPr>
        <w:pStyle w:val="ListBullet"/>
      </w:pPr>
      <w:r>
        <w:t>原文（DEV.docx §9，一字未改）：P0 页面必须翻译 UI String completeness=100%；Brand/SKU/用户原文等 exempt 明确登记。</w:t>
      </w:r>
    </w:p>
    <w:p>
      <w:r>
        <w:t>AC-LOC-008（归属来源：关键词推导、端点表）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Language=en、Locale=en-IN、Currency=INR、Timezone=Asia/Kolkata、Metric 可独立共存。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§9，一字未改）：Language=en、Locale=en-IN、Currency=INR、Timezone=Asia/Kolkata、Metric 可独立共存。</w:t>
      </w:r>
    </w:p>
    <w:p>
      <w:r>
        <w:t>AC-LOC-011（归属来源：端点表）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后台 UI=zh-CN 时，可编辑 content_locale=en/vi</w:t>
      </w:r>
    </w:p>
    <w:p>
      <w:pPr>
        <w:pStyle w:val="ListBullet"/>
      </w:pPr>
      <w:r>
        <w:t>Then 内容语言变化不改变后台 UI language。</w:t>
      </w:r>
    </w:p>
    <w:p>
      <w:pPr>
        <w:pStyle w:val="ListBullet"/>
      </w:pPr>
      <w:r>
        <w:t>原文（DEV.docx §9，一字未改）：后台 UI=zh-CN 时，可编辑 content_locale=en/vi；内容语言变化不改变后台 UI language。</w:t>
      </w:r>
    </w:p>
    <w:p>
      <w:r>
        <w:t>AC-LOC-012（归属来源：关键词推导、端点表）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TMS/Tolgee 完全不可用时</w:t>
      </w:r>
    </w:p>
    <w:p>
      <w:pPr>
        <w:pStyle w:val="ListBullet"/>
      </w:pPr>
      <w:r>
        <w:t>Then 已发布 Catalog 的 Web/uni-app 固定 UI 仍正常工作。</w:t>
      </w:r>
    </w:p>
    <w:p>
      <w:pPr>
        <w:pStyle w:val="ListBullet"/>
      </w:pPr>
      <w:r>
        <w:t>原文（DEV.docx §9，一字未改）：TMS/Tolgee 完全不可用时，已发布 Catalog 的 Web/uni-app 固定 UI 仍正常工作。</w:t>
      </w:r>
    </w:p>
    <w:p>
      <w:r>
        <w:t>AC-LOC-018（归属来源：关键词推导、端点表）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Catalog Release 可回滚到 Previous Stable</w:t>
      </w:r>
    </w:p>
    <w:p>
      <w:pPr>
        <w:pStyle w:val="ListBullet"/>
      </w:pPr>
      <w:r>
        <w:t>Then 回滚不改 Product/Page/用户事实。</w:t>
      </w:r>
    </w:p>
    <w:p>
      <w:pPr>
        <w:pStyle w:val="ListBullet"/>
      </w:pPr>
      <w:r>
        <w:t>原文（DEV.docx §9，一字未改）：Catalog Release 可回滚到 Previous Stable；回滚不改 Product/Page/用户事实。</w:t>
      </w:r>
    </w:p>
    <w:p>
      <w:r>
        <w:t>AC-LOC-020（归属来源：端点表）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GoodBarber 不被标记为 same-app dynamic locale runtime</w:t>
      </w:r>
    </w:p>
    <w:p>
      <w:pPr>
        <w:pStyle w:val="ListBullet"/>
      </w:pPr>
      <w:r>
        <w:t>Then 相关能力若启用必须显式 Channel limitation。</w:t>
      </w:r>
    </w:p>
    <w:p>
      <w:pPr>
        <w:pStyle w:val="ListBullet"/>
      </w:pPr>
      <w:r>
        <w:t>原文（DEV.docx §9，一字未改）：GoodBarber 不被标记为 same-app dynamic locale runtime；相关能力若启用必须显式 Channel limitation。</w:t>
      </w:r>
    </w:p>
    <w:p>
      <w:r>
        <w:t>AC-LOC-021（归属来源：端点表）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preferred=vi-VN、locale=vi-VN 的客户开启销售 AI：首轮及后续默认越南语</w:t>
      </w:r>
    </w:p>
    <w:p>
      <w:pPr>
        <w:pStyle w:val="ListBullet"/>
      </w:pPr>
      <w:r>
        <w:t>Then 不经过“强制翻中文再翻回”的主链。</w:t>
      </w:r>
    </w:p>
    <w:p>
      <w:pPr>
        <w:pStyle w:val="ListBullet"/>
      </w:pPr>
      <w:r>
        <w:t>原文（DEV.docx §9，一字未改）：preferred=vi-VN、locale=vi-VN 的客户开启销售 AI：首轮及后续默认越南语；不经过“强制翻中文再翻回”的主链。</w:t>
      </w:r>
    </w:p>
    <w:p>
      <w:r>
        <w:t>AC-LOC-022（归属来源：关键词推导、端点表）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 + Locale=en-IN + Currency=INR：AI 用英语回复，但日期/金额/单位/市场表达遵守 India locale policy</w:t>
      </w:r>
    </w:p>
    <w:p>
      <w:pPr>
        <w:pStyle w:val="ListBullet"/>
      </w:pPr>
      <w:r>
        <w:t>Then 不能自动变成美国语境。</w:t>
      </w:r>
    </w:p>
    <w:p>
      <w:pPr>
        <w:pStyle w:val="ListBullet"/>
      </w:pPr>
      <w:r>
        <w:t>原文（DEV.docx §9，一字未改）：Language=en + Locale=en-IN + Currency=INR：AI 用英语回复，但日期/金额/单位/市场表达遵守 India locale policy；不能自动变成美国语境。</w:t>
      </w:r>
    </w:p>
    <w:p>
      <w:r>
        <w:t>AC-LOC-024（归属来源：关键词推导、端点表）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Brand Voice 在不同 locale 可定义正式度/称谓/风格</w:t>
      </w:r>
    </w:p>
    <w:p>
      <w:pPr>
        <w:pStyle w:val="ListBullet"/>
      </w:pPr>
      <w:r>
        <w:t>Then AI 输出必须引用 policy_version，policy 变更后新会话采用新版本，旧 Run Evidence 可复现。</w:t>
      </w:r>
    </w:p>
    <w:p>
      <w:pPr>
        <w:pStyle w:val="ListBullet"/>
      </w:pPr>
      <w:r>
        <w:t>原文（DEV.docx §9，一字未改）：Brand Voice 在不同 locale 可定义正式度/称谓/风格；AI 输出必须引用 policy_version，policy 变更后新会话采用新版本，旧 Run Evidence 可复现。</w:t>
      </w:r>
    </w:p>
    <w:p>
      <w:r>
        <w:t>AC-LOC-032（归属来源：人裁（附理由）、关键词推导、端点表）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相同 Golden Challenge Set 在 zh/en/vi 上执行：语言正确、术语、事实保真、品牌语气、Locale、工具失败恢复均有独立 PASS/FAIL 与 Evidence。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§9，一字未改）：相同 Golden Challenge Set 在 zh/en/vi 上执行：语言正确、术语、事实保真、品牌语气、Locale、工具失败恢复均有独立 PASS/FAIL 与 Evidence。</w:t>
      </w:r>
    </w:p>
    <w:p>
      <w:r>
        <w:t>AC-LOC-035（归属来源：关键词推导、端点表）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用户手机用中文下令“把产品发布到美国独立站”：command_language=zh-CN，但 target_output_language=en、target_locale=en-US</w:t>
      </w:r>
    </w:p>
    <w:p>
      <w:pPr>
        <w:pStyle w:val="ListBullet"/>
      </w:pPr>
      <w:r>
        <w:t>Then 最终客户内容按美国语境输出，不能把中文指令语言误当发布语言。</w:t>
      </w:r>
    </w:p>
    <w:p>
      <w:pPr>
        <w:pStyle w:val="ListBullet"/>
      </w:pPr>
      <w:r>
        <w:t>原文（DEV.docx §9，一字未改）：用户手机用中文下令“把产品发布到美国独立站”：command_language=zh-CN，但 target_output_language=en、target_locale=en-US；最终客户内容按美国语境输出，不能把中文指令语言误当发布语言。</w:t>
      </w:r>
    </w:p>
    <w:p>
      <w:r>
        <w:t>AC-LOC-037（归属来源：关键词推导）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网络断开/手机重连/重复点击发送相同 command_id 或 idempotency_key：AI Task/外发动作只执行一次</w:t>
      </w:r>
    </w:p>
    <w:p>
      <w:pPr>
        <w:pStyle w:val="ListBullet"/>
      </w:pPr>
      <w:r>
        <w:t>Then 聊天消息/任务状态不重复。</w:t>
      </w:r>
    </w:p>
    <w:p>
      <w:pPr>
        <w:pStyle w:val="ListBullet"/>
      </w:pPr>
      <w:r>
        <w:t>原文（DEV.docx §9，一字未改）：网络断开/手机重连/重复点击发送相同 command_id 或 idempotency_key：AI Task/外发动作只执行一次；聊天消息/任务状态不重复。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@Tag("AC-LOC-004")                    // 方便单独跑：mvn test -Dgroups=AC-LOC-004</w:t>
        <w:br/>
        <w:t>void locT004_describeWhatThisCriterionVerifies()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/loc/catalog/{locale}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/loc/catalog/candidates</w:t>
            </w:r>
          </w:p>
        </w:tc>
        <w:tc>
          <w:tcPr>
            <w:tcW w:type="dxa" w:w="2880"/>
          </w:tcPr>
          <w:p>
            <w:r>
              <w:t>catalog_version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f003/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