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F-DQ-002 · 证据归一化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F-DQ-002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2026-09-09 10:40（仓库 70f9058）·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F-DQ-002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证据归一化（Evidence Normalizer / Finding Mapper）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WP-DQ-01（同批：F001 + F002）—— 先建立 QualityRun/ScannerRun/NormalizedFinding/GateDecision contract 与 F-OBS evidence 接口。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Platform Quality Owner；Implementer: UNASSIGNED_STAGE10；Source Reviewer: Source/Security Owner；Acceptance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① 拿代码（这是真实代码仓库，不是文档仓库）</w:t>
        <w:br/>
        <w:t>git clone https://github.com/xyhzai/matbox.git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wp/F-DQ-002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cd backend &amp;&amp; mvn -B verify</w:t>
        <w:br/>
        <w:br/>
        <w:t># ⑤ 写完再跑一次，绿了才提 PR</w:t>
        <w:br/>
        <w:t>mvn -B verify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目标：把各工具异构结果转换成统一 Finding/Error/Evidence 结构，同时保留不可变 raw report。</w:t>
      </w:r>
    </w:p>
    <w:p>
      <w:r>
        <w:t>In Scope：SARIF/JSON/JUnit/API response parser、fingerprint/dedupe、severity/category mapping、partial/error detection。</w:t>
      </w:r>
    </w:p>
    <w:p>
      <w:r>
        <w:t>Out of Scope：不把 provider-specific schema 写进 Domain；不删除原始证据。</w:t>
      </w:r>
    </w:p>
    <w:p>
      <w:r>
        <w:t>入口 / Route：Backend only；/ops/dev-quality/findings 通过共享 Evidence Query 展示</w:t>
      </w:r>
    </w:p>
    <w:p>
      <w:r>
        <w:t>依赖：F-OBS-001 EvidenceBundle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backend/modules/dev-quality/src/main/java/com/matbox/devquality/normalizer/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ListBullet"/>
      </w:pPr>
      <w:r>
        <w:t>Allowed / N/A：无独立 UI；由 F001/F012 消费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Backend/API/Service｜Applicable · Quality BE</w:t>
      </w:r>
    </w:p>
    <w:p>
      <w:pPr>
        <w:pStyle w:val="ListBullet"/>
      </w:pPr>
      <w:r>
        <w:t>Allowed / N/A：NormalizerRegistry/Parser/Mapper</w:t>
      </w:r>
    </w:p>
    <w:p>
      <w:pPr>
        <w:pStyle w:val="ListBullet"/>
      </w:pPr>
      <w:r>
        <w:t>Protected：不得吞 scanner error 或把 no-result 当 0 findings</w:t>
      </w:r>
    </w:p>
    <w:p>
      <w:pPr>
        <w:pStyle w:val="ListBullet"/>
      </w:pPr>
      <w:r>
        <w:t>Contract / Dependency：NormalizedFinding v1 + ScannerError v1</w:t>
      </w:r>
    </w:p>
    <w:p>
      <w:pPr>
        <w:pStyle w:val="ListBullet"/>
      </w:pPr>
      <w:r>
        <w:t>Acceptance / Test / Evidence：同一固定 fixture 可稳定映射；未知字段 forward-compatible。</w:t>
      </w:r>
    </w:p>
    <w:p>
      <w:pPr>
        <w:pStyle w:val="ListBullet"/>
      </w:pPr>
      <w:r>
        <w:t>Transaction / Idempotency / Retry / Recovery：Parser/Mapper 本身不在业务 DB 事务内执行；rawEvidenceRef 成功取得后再通过 F-OBS 受控写入 normalized refs；以 raw report hash + tool/version + finding fingerprint 幂等；解析失败不重写为 0 findings，返回 SCANNER_ERROR/INCOMPLETE；无网络型 retry，修复 parser/config 后重跑。</w:t>
      </w:r>
    </w:p>
    <w:p>
      <w:pPr>
        <w:pStyle w:val="Heading3"/>
      </w:pPr>
      <w:r>
        <w:t>Data/DB/Migration｜Applicable · Obs/Quality</w:t>
      </w:r>
    </w:p>
    <w:p>
      <w:pPr>
        <w:pStyle w:val="ListBullet"/>
      </w:pPr>
      <w:r>
        <w:t>Allowed / N/A：只保存 normalized refs + rawEvidenceRef</w:t>
      </w:r>
    </w:p>
    <w:p>
      <w:pPr>
        <w:pStyle w:val="ListBullet"/>
      </w:pPr>
      <w:r>
        <w:t>Protected：不保存明文 secret/source 全文到普通表</w:t>
      </w:r>
    </w:p>
    <w:p>
      <w:pPr>
        <w:pStyle w:val="ListBullet"/>
      </w:pPr>
      <w:r>
        <w:t>Contract / Dependency：EvidenceRef contract</w:t>
      </w:r>
    </w:p>
    <w:p>
      <w:pPr>
        <w:pStyle w:val="ListBullet"/>
      </w:pPr>
      <w:r>
        <w:t>Acceptance / Test / Evidence：敏感字段 redaction；Evidence hash 可复核。</w:t>
      </w:r>
    </w:p>
    <w:p>
      <w:pPr>
        <w:pStyle w:val="Heading3"/>
      </w:pPr>
      <w:r>
        <w:t>Async/Runtime｜Applicable · Shared Runtime</w:t>
      </w:r>
    </w:p>
    <w:p>
      <w:pPr>
        <w:pStyle w:val="ListBullet"/>
      </w:pPr>
      <w:r>
        <w:t>Allowed / N/A：异步大报告 parse 可 job 化</w:t>
      </w:r>
    </w:p>
    <w:p>
      <w:pPr>
        <w:pStyle w:val="ListBullet"/>
      </w:pPr>
      <w:r>
        <w:t>Protected：不能影响原 scanner exit status</w:t>
      </w:r>
    </w:p>
    <w:p>
      <w:pPr>
        <w:pStyle w:val="ListBullet"/>
      </w:pPr>
      <w:r>
        <w:t>Contract / Dependency：parse job contract</w:t>
      </w:r>
    </w:p>
    <w:p>
      <w:pPr>
        <w:pStyle w:val="ListBullet"/>
      </w:pPr>
      <w:r>
        <w:t>Acceptance / Test / Evidence：parse fail =&gt; SCANNER_ERROR/INCOMPLETE。</w:t>
      </w:r>
    </w:p>
    <w:p>
      <w:pPr>
        <w:pStyle w:val="Heading3"/>
      </w:pPr>
      <w:r>
        <w:t>Provider/External｜Applicable · Scanner Adapters</w:t>
      </w:r>
    </w:p>
    <w:p>
      <w:pPr>
        <w:pStyle w:val="ListBullet"/>
      </w:pPr>
      <w:r>
        <w:t>Allowed / N/A：每 adapter 自带 parser version</w:t>
      </w:r>
    </w:p>
    <w:p>
      <w:pPr>
        <w:pStyle w:val="ListBullet"/>
      </w:pPr>
      <w:r>
        <w:t>Protected：provider result 不能直接变 GateDecision</w:t>
      </w:r>
    </w:p>
    <w:p>
      <w:pPr>
        <w:pStyle w:val="ListBullet"/>
      </w:pPr>
      <w:r>
        <w:t>Contract / Dependency：AdapterResult contract</w:t>
      </w:r>
    </w:p>
    <w:p>
      <w:pPr>
        <w:pStyle w:val="ListBullet"/>
      </w:pPr>
      <w:r>
        <w:t>Acceptance / Test / Evidence：adapter contract tests 100% 固定 fixtures。</w:t>
      </w:r>
    </w:p>
    <w:p>
      <w:pPr>
        <w:pStyle w:val="Heading3"/>
      </w:pPr>
      <w:r>
        <w:t>Infra/Config｜Applicable · Security/Infra</w:t>
      </w:r>
    </w:p>
    <w:p>
      <w:pPr>
        <w:pStyle w:val="ListBullet"/>
      </w:pPr>
      <w:r>
        <w:t>Allowed / N/A：max report size、schema validation、redaction</w:t>
      </w:r>
    </w:p>
    <w:p>
      <w:pPr>
        <w:pStyle w:val="ListBullet"/>
      </w:pPr>
      <w:r>
        <w:t>Protected：不信任 SARIF/JSON 内容</w:t>
      </w:r>
    </w:p>
    <w:p>
      <w:pPr>
        <w:pStyle w:val="ListBullet"/>
      </w:pPr>
      <w:r>
        <w:t>Contract / Dependency：parser limits config</w:t>
      </w:r>
    </w:p>
    <w:p>
      <w:pPr>
        <w:pStyle w:val="ListBullet"/>
      </w:pPr>
      <w:r>
        <w:t>Acceptance / Test / Evidence：malformed/oversized report 不造成 RCE/DoS，返回受控错误。</w:t>
      </w:r>
    </w:p>
    <w:p>
      <w:pPr>
        <w:pStyle w:val="Heading3"/>
      </w:pPr>
      <w:r>
        <w:t>Tests/Observability｜Applicable · QA/Security</w:t>
      </w:r>
    </w:p>
    <w:p>
      <w:pPr>
        <w:pStyle w:val="ListBullet"/>
      </w:pPr>
      <w:r>
        <w:t>Allowed / N/A：golden parser fixtures + malicious report corpus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Dependency：fixture bundle version</w:t>
      </w:r>
    </w:p>
    <w:p>
      <w:pPr>
        <w:pStyle w:val="ListBullet"/>
      </w:pPr>
      <w:r>
        <w:t>Acceptance / Test / Evidence：同输入同映射；secret 0 泄漏到日志。</w:t>
      </w:r>
    </w:p>
    <w:p>
      <w:pPr>
        <w:pStyle w:val="ListBullet"/>
      </w:pPr>
      <w:r>
        <w:t>Acceptance / Test / Evidence（2026-09-04补）：severity/category 映射应引入可达性（reachability）判断——该发现路径在当前代码里是否真的可能被触发——作为排序依据之一，不是所有静态命中同等优先级；真实案例显示这样能大幅减少无意义提醒。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DQ-T014</w:t>
            </w:r>
          </w:p>
        </w:tc>
        <w:tc>
          <w:tcPr>
            <w:tcW w:type="dxa" w:w="2880"/>
          </w:tcPr>
          <w:p>
            <w:r>
              <w:t>Scanner binary missing/adapter unavailable</w:t>
            </w:r>
          </w:p>
        </w:tc>
        <w:tc>
          <w:tcPr>
            <w:tcW w:type="dxa" w:w="2880"/>
          </w:tcPr>
          <w:p>
            <w:r>
              <w:t>INCOMPLETE/SCANNER_ERROR；fail-closed。</w:t>
            </w:r>
          </w:p>
        </w:tc>
      </w:tr>
      <w:tr>
        <w:tc>
          <w:tcPr>
            <w:tcW w:type="dxa" w:w="2880"/>
          </w:tcPr>
          <w:p>
            <w:r>
              <w:t>DQ-T017</w:t>
            </w:r>
          </w:p>
        </w:tc>
        <w:tc>
          <w:tcPr>
            <w:tcW w:type="dxa" w:w="2880"/>
          </w:tcPr>
          <w:p>
            <w:r>
              <w:t>Malformed/oversized SARIF/JSON</w:t>
            </w:r>
          </w:p>
        </w:tc>
        <w:tc>
          <w:tcPr>
            <w:tcW w:type="dxa" w:w="2880"/>
          </w:tcPr>
          <w:p>
            <w:r>
              <w:t>parser 安全失败；不 crash 整体平台，不 false pass。</w:t>
            </w:r>
          </w:p>
        </w:tc>
      </w:tr>
      <w:tr>
        <w:tc>
          <w:tcPr>
            <w:tcW w:type="dxa" w:w="2880"/>
          </w:tcPr>
          <w:p>
            <w:r>
              <w:t>DQ-T018</w:t>
            </w:r>
          </w:p>
        </w:tc>
        <w:tc>
          <w:tcPr>
            <w:tcW w:type="dxa" w:w="2880"/>
          </w:tcPr>
          <w:p>
            <w:r>
              <w:t>Evidence export/logging</w:t>
            </w:r>
          </w:p>
        </w:tc>
        <w:tc>
          <w:tcPr>
            <w:tcW w:type="dxa" w:w="2880"/>
          </w:tcPr>
          <w:p>
            <w:r>
              <w:t>0 usable secret；敏感源码按 RBAC/redaction。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@Tag("DQ-T014")                       // 方便单独跑：mvn test -Dgroups=DQ-T014</w:t>
        <w:br/>
        <w:t>void dqT014_describeWhatThisCriterionVerifies()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可以有多个测试方法（dqT014_a、dqT014_b…），但不能一条都没有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/dq/quality-runs/{qualityRunId}/scanner-runs</w:t>
            </w:r>
          </w:p>
        </w:tc>
        <w:tc>
          <w:tcPr>
            <w:tcW w:type="dxa" w:w="2160"/>
          </w:tcPr>
          <w:p>
            <w:r>
              <w:t>查询该Run下所有ScannerRun</w:t>
            </w:r>
          </w:p>
        </w:tc>
        <w:tc>
          <w:tcPr>
            <w:tcW w:type="dxa" w:w="2160"/>
          </w:tcPr>
          <w:p>
            <w:r>
              <w:t>F-DQ-002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/dq/quality-runs/{qualityRunId}/findings</w:t>
            </w:r>
          </w:p>
        </w:tc>
        <w:tc>
          <w:tcPr>
            <w:tcW w:type="dxa" w:w="2160"/>
          </w:tcPr>
          <w:p>
            <w:r>
              <w:t>查询该Run的NormalizedFinding列表</w:t>
            </w:r>
          </w:p>
        </w:tc>
        <w:tc>
          <w:tcPr>
            <w:tcW w:type="dxa" w:w="2160"/>
          </w:tcPr>
          <w:p>
            <w:r>
              <w:t>F-DQ-002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/dq/findings</w:t>
            </w:r>
          </w:p>
        </w:tc>
        <w:tc>
          <w:tcPr>
            <w:tcW w:type="dxa" w:w="2160"/>
          </w:tcPr>
          <w:p>
            <w:r>
              <w:t>按workPackageId/ruleId/severity/isNew等条件查询Finding（供VIZ模块只读投影调用）</w:t>
            </w:r>
          </w:p>
        </w:tc>
        <w:tc>
          <w:tcPr>
            <w:tcW w:type="dxa" w:w="2160"/>
          </w:tcPr>
          <w:p>
            <w:r>
              <w:t>F-DQ-002</w:t>
            </w:r>
          </w:p>
        </w:tc>
      </w:tr>
    </w:tbl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rPr>
          <w:rFonts w:ascii="Consolas" w:hAnsi="Consolas"/>
          <w:color w:val="333333"/>
          <w:sz w:val="17"/>
        </w:rPr>
        <w:t>CREATE TABLE dq_normalized_finding (</w:t>
        <w:br/>
        <w:t xml:space="preserve">    finding_id UUID PRIMARY KEY DEFAULT gen_random_uuid(),</w:t>
        <w:br/>
        <w:t xml:space="preserve">    tenant_id UUID NOT NULL,</w:t>
        <w:br/>
        <w:t xml:space="preserve">    quality_run_id UUID NOT NULL REFERENCES dq_quality_run(quality_run_id),</w:t>
        <w:br/>
        <w:t xml:space="preserve">    source_scanner VARCHAR(32) NOT NULL,</w:t>
        <w:br/>
        <w:t xml:space="preserve">    rule_id VARCHAR(256) NOT NULL,</w:t>
        <w:br/>
        <w:t xml:space="preserve">    category VARCHAR(64) NOT NULL,</w:t>
        <w:br/>
        <w:t xml:space="preserve">    severity VARCHAR(16) NOT NULL,</w:t>
        <w:br/>
        <w:t xml:space="preserve">    confidence VARCHAR(16),</w:t>
        <w:br/>
        <w:t xml:space="preserve">    file_path TEXT,</w:t>
        <w:br/>
        <w:t xml:space="preserve">    location JSONB,</w:t>
        <w:br/>
        <w:t xml:space="preserve">    fingerprint VARCHAR(128) NOT NULL,</w:t>
        <w:br/>
        <w:t xml:space="preserve">    introduced_by_ref VARCHAR(128),</w:t>
        <w:br/>
        <w:t xml:space="preserve">    is_new BOOLEAN NOT NULL DEFAULT true,</w:t>
        <w:br/>
        <w:t xml:space="preserve">    remediation_class VARCHAR(32),</w:t>
        <w:br/>
        <w:t xml:space="preserve">    suppression_ref UUID,</w:t>
        <w:br/>
        <w:t xml:space="preserve">    evidence_ref VARCHAR(128) NOT NULL,</w:t>
        <w:br/>
        <w:t xml:space="preserve">    created_at TIMESTAMPTZ NOT NULL DEFAULT now()</w:t>
        <w:br/>
        <w:t>);</w:t>
      </w:r>
    </w:p>
    <w:p>
      <w:r>
        <w:t>迁移工具 Flyway，从 V1__dq_core_tables.sql 起；共享表 + tenant_id 模式（TENANT-F004）。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normalizer/            # F-DQ-002：ParserRegistry, FindingMapper（依赖adapters/*的AdapterResult）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BE-02 EvidenceNormalizer框架 + 各Adapter Parser（SARIF/JUnit/自定义JSON）（F-DQ-002）</w:t>
      </w:r>
    </w:p>
    <w:p>
      <w:pPr>
        <w:pStyle w:val="ListBullet"/>
      </w:pPr>
      <w:r>
        <w:t>FE-02 Finding列表/详情（含跳转Evidence抽屉）（F-DQ-002，供VIZ模块消费同一投影API）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见 [FINAL 文档 §4.18](../../Matbox_代码持续质检与安全自检_开发文档_FINAL.md)：技术栈（Java/Spring Boot + PostgreSQL + Flyway）、四步起环境、三条冒烟验证。注意那一节是规格不是实测——Matbox 真代码库还没有第一行代码，你是第一个跑它的人，跑通后请把真实耗时回填。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第9节表16；七类施工面来自第10节；验收标准来自第13节（归属为推导）；可写路径来自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