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F-DQ-007 · 架构/契约/Schema 守卫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F-DQ-007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19:14（仓库 2754fc2）·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F-DQ-007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架构/契约/Schema 守卫（Matbox Architecture / Contract / Schema Guard）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G-STAGE10-CONFLICT-001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Architecture Owner；Implementer: UNASSIGNED_STAGE10；Source Reviewer: Architecture +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wp/F-DQ-007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目标：补足通用扫描器解决不了的 Matbox 语义规则：Protected Scope、Contract/Schema/Migration、Shared Capability、Provider/Secret 边界。</w:t>
      </w:r>
    </w:p>
    <w:p>
      <w:r>
        <w:t>In Scope：manifest/registry diff、API schema、DB migration ownership、queue/worker/shared config/lockfile、forbidden dependency rules。</w:t>
      </w:r>
    </w:p>
    <w:p>
      <w:r>
        <w:t>Out of Scope：不替代 RC5 派发前语义冲突检查；不重建业务 Domain SoT。</w:t>
      </w:r>
    </w:p>
    <w:p>
      <w:r>
        <w:t>入口 / Route：CI backend；rule/manifest repository</w:t>
      </w:r>
    </w:p>
    <w:p>
      <w:r>
        <w:t>依赖：RC5 Canonical Registry；F-DQ-004；F-RELEASE-001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backend/modules/dev-quality/src/main/java/com/matbox/devquality/adapters/architecture-guard/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pPr>
        <w:pStyle w:val="Heading3"/>
      </w:pPr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pPr>
        <w:pStyle w:val="Heading3"/>
      </w:pPr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pPr>
        <w:pStyle w:val="Heading3"/>
      </w:pPr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pPr>
        <w:pStyle w:val="Heading3"/>
      </w:pPr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@Tag("DQ-T022")                       // 方便单独跑：mvn test -Dgroups=DQ-T022</w:t>
        <w:br/>
        <w:t>void dqT022_describeWhatThisCriterionVerifies()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可以有多个测试方法（dqT022_a、dqT022_b…），但不能一条都没有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architecture-guard/   # F-DQ-007（依赖 rc5-registry-client）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第9节表21；七类施工面来自第10节；验收标准来自第13节（归属为推导）；可写路径来自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