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LOC-F005 · uni-app / Vue I18n Adapter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LOC-F005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LOC-F005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 / RELEASE_GATE_OPEN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wp/loc-f005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LOC-F005 —— uni-app / Vue I18n Adapter。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Frontend/UI｜Applicable · next-intl / uni-app 适配层</w:t>
      </w:r>
    </w:p>
    <w:p>
      <w:pPr>
        <w:pStyle w:val="Heading3"/>
      </w:pPr>
      <w:r>
        <w:t>Backend/API/Service｜Applicable · LOC-F005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AC-LOC-004（归属来源：关键词推导）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P0 页面必须翻译 UI String completeness=100%</w:t>
      </w:r>
    </w:p>
    <w:p>
      <w:pPr>
        <w:pStyle w:val="ListBullet"/>
      </w:pPr>
      <w:r>
        <w:t>Then Brand/SKU/用户原文等 exempt 明确登记。</w:t>
      </w:r>
    </w:p>
    <w:p>
      <w:pPr>
        <w:pStyle w:val="ListBullet"/>
      </w:pPr>
      <w:r>
        <w:t>原文（DEV.docx §9，一字未改）：P0 页面必须翻译 UI String completeness=100%；Brand/SKU/用户原文等 exempt 明确登记。</w:t>
      </w:r>
    </w:p>
    <w:p>
      <w:r>
        <w:t>AC-LOC-010（归属来源：关键词推导）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zh/en/vi P0 页面关键 CTA 可见、可点、不遮挡</w:t>
      </w:r>
    </w:p>
    <w:p>
      <w:pPr>
        <w:pStyle w:val="ListBullet"/>
      </w:pPr>
      <w:r>
        <w:t>Then 不因文本长度导致功能不可用。</w:t>
      </w:r>
    </w:p>
    <w:p>
      <w:pPr>
        <w:pStyle w:val="ListBullet"/>
      </w:pPr>
      <w:r>
        <w:t>原文（DEV.docx §9，一字未改）：zh/en/vi P0 页面关键 CTA 可见、可点、不遮挡，不因文本长度导致功能不可用。</w:t>
      </w:r>
    </w:p>
    <w:p>
      <w:r>
        <w:t>AC-LOC-012（归属来源：关键词推导、端点表）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TMS/Tolgee 完全不可用时</w:t>
      </w:r>
    </w:p>
    <w:p>
      <w:pPr>
        <w:pStyle w:val="ListBullet"/>
      </w:pPr>
      <w:r>
        <w:t>Then 已发布 Catalog 的 Web/uni-app 固定 UI 仍正常工作。</w:t>
      </w:r>
    </w:p>
    <w:p>
      <w:pPr>
        <w:pStyle w:val="ListBullet"/>
      </w:pPr>
      <w:r>
        <w:t>原文（DEV.docx §9，一字未改）：TMS/Tolgee 完全不可用时，已发布 Catalog 的 Web/uni-app 固定 UI 仍正常工作。</w:t>
      </w:r>
    </w:p>
    <w:p>
      <w:r>
        <w:t>AC-LOC-034（归属来源：关键词推导、端点表）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同一 Conversation 从 Web 切到手机/小程序后继续指挥 AI：language context revision、conversation_ref、task_ref 连续</w:t>
      </w:r>
    </w:p>
    <w:p>
      <w:pPr>
        <w:pStyle w:val="ListBullet"/>
      </w:pPr>
      <w:r>
        <w:t>Then 不得因端切换回平台默认语言。</w:t>
      </w:r>
    </w:p>
    <w:p>
      <w:pPr>
        <w:pStyle w:val="ListBullet"/>
      </w:pPr>
      <w:r>
        <w:t>原文（DEV.docx §9，一字未改）：同一 Conversation 从 Web 切到手机/小程序后继续指挥 AI：language context revision、conversation_ref、task_ref 连续；不得因端切换回平台默认语言。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@Tag("AC-LOC-004")                    // 方便单独跑：mvn test -Dgroups=AC-LOC-004</w:t>
        <w:br/>
        <w:t>void locT004_describeWhatThisCriterionVerifies()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p>
      <w:r>
        <w:t>_本功能不直接暴露端点（属内部能力/适配层）。_</w:t>
      </w:r>
    </w:p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f005/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