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LOC-F003 · Localization Catalog &amp; Key Governance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LOC-F003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wp/loc-f003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LOC-F003 —— Localization Catalog &amp; Key Governance。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LOC-F003 Owner</w:t>
      </w:r>
    </w:p>
    <w:p>
      <w:pPr>
        <w:pStyle w:val="Heading3"/>
      </w:pPr>
      <w:r>
        <w:t>Data/DB/Migration｜Applicable · 见 5.2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P0 页面必须翻译 UI String completeness=100%</w:t>
      </w:r>
    </w:p>
    <w:p>
      <w:pPr>
        <w:pStyle w:val="ListBullet"/>
      </w:pPr>
      <w:r>
        <w:t>Then Brand/SKU/用户原文等 exempt 明确登记。</w:t>
      </w:r>
    </w:p>
    <w:p>
      <w:pPr>
        <w:pStyle w:val="ListBullet"/>
      </w:pPr>
      <w:r>
        <w:t>原文（DEV.docx §9，一字未改）：P0 页面必须翻译 UI String completeness=100%；Brand/SKU/用户原文等 exempt 明确登记。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AC-LOC-018（归属来源：关键词推导、端点表）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Catalog Release 可回滚到 Previous Stable</w:t>
      </w:r>
    </w:p>
    <w:p>
      <w:pPr>
        <w:pStyle w:val="ListBullet"/>
      </w:pPr>
      <w:r>
        <w:t>Then 回滚不改 Product/Page/用户事实。</w:t>
      </w:r>
    </w:p>
    <w:p>
      <w:pPr>
        <w:pStyle w:val="ListBullet"/>
      </w:pPr>
      <w:r>
        <w:t>原文（DEV.docx §9，一字未改）：Catalog Release 可回滚到 Previous Stable；回滚不改 Product/Page/用户事实。</w:t>
      </w:r>
    </w:p>
    <w:p>
      <w:r>
        <w:t>AC-LOC-020（归属来源：端点表）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GoodBarber 不被标记为 same-app dynamic locale runtime</w:t>
      </w:r>
    </w:p>
    <w:p>
      <w:pPr>
        <w:pStyle w:val="ListBullet"/>
      </w:pPr>
      <w:r>
        <w:t>Then 相关能力若启用必须显式 Channel limitation。</w:t>
      </w:r>
    </w:p>
    <w:p>
      <w:pPr>
        <w:pStyle w:val="ListBullet"/>
      </w:pPr>
      <w:r>
        <w:t>原文（DEV.docx §9，一字未改）：GoodBarber 不被标记为 same-app dynamic locale runtime；相关能力若启用必须显式 Channel limitation。</w:t>
      </w:r>
    </w:p>
    <w:p>
      <w:r>
        <w:t>AC-LOC-021（归属来源：端点表）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preferred=vi-VN、locale=vi-VN 的客户开启销售 AI：首轮及后续默认越南语</w:t>
      </w:r>
    </w:p>
    <w:p>
      <w:pPr>
        <w:pStyle w:val="ListBullet"/>
      </w:pPr>
      <w:r>
        <w:t>Then 不经过“强制翻中文再翻回”的主链。</w:t>
      </w:r>
    </w:p>
    <w:p>
      <w:pPr>
        <w:pStyle w:val="ListBullet"/>
      </w:pPr>
      <w:r>
        <w:t>原文（DEV.docx §9，一字未改）：preferred=vi-VN、locale=vi-VN 的客户开启销售 AI：首轮及后续默认越南语；不经过“强制翻中文再翻回”的主链。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r>
        <w:t>AC-LOC-037（归属来源：关键词推导）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网络断开/手机重连/重复点击发送相同 command_id 或 idempotency_key：AI Task/外发动作只执行一次</w:t>
      </w:r>
    </w:p>
    <w:p>
      <w:pPr>
        <w:pStyle w:val="ListBullet"/>
      </w:pPr>
      <w:r>
        <w:t>Then 聊天消息/任务状态不重复。</w:t>
      </w:r>
    </w:p>
    <w:p>
      <w:pPr>
        <w:pStyle w:val="ListBullet"/>
      </w:pPr>
      <w:r>
        <w:t>原文（DEV.docx §9，一字未改）：网络断开/手机重连/重复点击发送相同 command_id 或 idempotency_key：AI Task/外发动作只执行一次；聊天消息/任务状态不重复。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@Tag("AC-LOC-004")                    // 方便单独跑：mvn test -Dgroups=AC-LOC-004</w:t>
        <w:br/>
        <w:t>void locT004_describeWhatThisCriterionVerifies()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/loc/catalog/{locale}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/loc/catalog/candidates</w:t>
            </w:r>
          </w:p>
        </w:tc>
        <w:tc>
          <w:tcPr>
            <w:tcW w:type="dxa" w:w="2880"/>
          </w:tcPr>
          <w:p>
            <w:r>
              <w:t>catalog_version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f003/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