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CRED-F009 · 匿名访客会话身份（Anonymous Visitor Session）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CRED-F009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CRED-T591、CRED-T592、CRED-T593、CRED-T005、CRED-T006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wp/cred-f009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wp/cred-f009，从下面那个基线切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CRED-F009：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目标：独立站未登录消费者的会话级临时身份，可升级关联到正式Contact身份，2026-08-30从调研清单#9并入</w:t>
      </w:r>
    </w:p>
    <w:p>
      <w:pPr>
        <w:pStyle w:val="ListBullet"/>
      </w:pPr>
      <w:r>
        <w:t>目标：独立站未登录消费者访问时签发一个会话级、租户绑定的匿名身份，只带极窄的默认权限（对应F-TENANT-001 TENANT-F006的allowlist判定）；访客后续留资/下单时，把该会话身份"升级"关联到正式Contact身份，会话期间产生的上下文（如AI对话历史）随之转移，不丢失。</w:t>
      </w:r>
    </w:p>
    <w:p>
      <w:pPr>
        <w:pStyle w:val="ListBullet"/>
      </w:pPr>
      <w:r>
        <w:t>依据：查证Auth0 2026年"Anonymous Sessions"（Beta，付费计划）模式——无状态匿名会话支持访客浏览/加购/预登录个性化，登录后通过账号关联把匿名数据合并到已认证身份，这是行业当前标准做法。</w:t>
      </w:r>
    </w:p>
    <w:p>
      <w:pPr>
        <w:pStyle w:val="ListBullet"/>
      </w:pPr>
      <w:r>
        <w:t>Out of Scope：不涉及独立站具体页面/路由设计（依赖用户尚未提供的"独立站"业务包，属F-CHANNEL-001/F-PAGE-001范围）；不允许匿名会话被授予Risk 3级以上的有副作用权限。</w:t>
      </w:r>
    </w:p>
    <w:p>
      <w:pPr>
        <w:pStyle w:val="ListBullet"/>
      </w:pPr>
      <w:r>
        <w:t>验收标准：匿名会话默认权限只覆盖只读allowlist（如浏览public产品目录、跟该租户公开AI员工对话）；身份升级后原会话上下文正确关联到新Contact身份且不可被其他访客冒领；会话过期或长时间不活跃后自动失效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CRED-F009 Owner</w:t>
      </w:r>
    </w:p>
    <w:p>
      <w:r>
        <w:t>本功能的服务端实现</w:t>
      </w:r>
    </w:p>
    <w:p>
      <w:pPr>
        <w:pStyle w:val="Heading3"/>
      </w:pPr>
      <w:r>
        <w:t>Data/DB/Migration｜Applicable · CRED-F009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CRED-F009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CRED-T591</w:t>
            </w:r>
          </w:p>
        </w:tc>
        <w:tc>
          <w:tcPr>
            <w:tcW w:type="dxa" w:w="4320"/>
          </w:tcPr>
          <w:p>
            <w:r>
              <w:t>匿名会话默认权限只覆盖只读allowlist（如浏览public产品目录、跟该租户公开AI员工对话）</w:t>
            </w:r>
          </w:p>
        </w:tc>
      </w:tr>
      <w:tr>
        <w:tc>
          <w:tcPr>
            <w:tcW w:type="dxa" w:w="4320"/>
          </w:tcPr>
          <w:p>
            <w:r>
              <w:t>CRED-T592</w:t>
            </w:r>
          </w:p>
        </w:tc>
        <w:tc>
          <w:tcPr>
            <w:tcW w:type="dxa" w:w="4320"/>
          </w:tcPr>
          <w:p>
            <w:r>
              <w:t>身份升级后原会话上下文正确关联到新Contact身份且不可被其他访客冒领</w:t>
            </w:r>
          </w:p>
        </w:tc>
      </w:tr>
      <w:tr>
        <w:tc>
          <w:tcPr>
            <w:tcW w:type="dxa" w:w="4320"/>
          </w:tcPr>
          <w:p>
            <w:r>
              <w:t>CRED-T593</w:t>
            </w:r>
          </w:p>
        </w:tc>
        <w:tc>
          <w:tcPr>
            <w:tcW w:type="dxa" w:w="4320"/>
          </w:tcPr>
          <w:p>
            <w:r>
              <w:t>会话过期或长时间不活跃后自动失效</w:t>
            </w:r>
          </w:p>
        </w:tc>
      </w:tr>
      <w:tr>
        <w:tc>
          <w:tcPr>
            <w:tcW w:type="dxa" w:w="4320"/>
          </w:tcPr>
          <w:p>
            <w:r>
              <w:t>CRED-T005</w:t>
            </w:r>
          </w:p>
        </w:tc>
        <w:tc>
          <w:tcPr>
            <w:tcW w:type="dxa" w:w="4320"/>
          </w:tcPr>
          <w:p>
            <w:r>
              <w:t>匿名访客会话尝试访问allowlist之外的资源，验证TENANT-F006判断为DENY（P0冻结规则第5条）。</w:t>
            </w:r>
          </w:p>
        </w:tc>
      </w:tr>
      <w:tr>
        <w:tc>
          <w:tcPr>
            <w:tcW w:type="dxa" w:w="4320"/>
          </w:tcPr>
          <w:p>
            <w:r>
              <w:t>CRED-T006</w:t>
            </w:r>
          </w:p>
        </w:tc>
        <w:tc>
          <w:tcPr>
            <w:tcW w:type="dxa" w:w="4320"/>
          </w:tcPr>
          <w:p>
            <w:r>
              <w:t>访客会话升级关联测试——留资后session上下文正确转移到新Contact身份，且原会话不可被其他访客冒领。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credT591_说明()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credT591_describeWhatThisVerifies()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