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40" w:firstLineChars="20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eastAsia="zh-CN"/>
        </w:rPr>
        <w:t>马太效应在虚拟世界中的表现与在现实世界中的表现相似。</w:t>
      </w:r>
      <w:r>
        <w:rPr>
          <w:rFonts w:hint="eastAsia"/>
          <w:sz w:val="22"/>
          <w:szCs w:val="21"/>
          <w:lang w:val="en-US" w:eastAsia="zh-CN"/>
        </w:rPr>
        <w:t>在虚拟世界中可能有以下表现：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网络流量：已经受到广泛关注的网站、页面更容易被更多的人访问，从而更容易获得流量。反之更不容易获得流量。自媒体也是如此。</w:t>
      </w:r>
    </w:p>
    <w:p>
      <w:pPr>
        <w:numPr>
          <w:ilvl w:val="0"/>
          <w:numId w:val="1"/>
        </w:numPr>
        <w:spacing w:line="360" w:lineRule="auto"/>
        <w:rPr>
          <w:rFonts w:hint="default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游戏排名：游戏排名高的玩家获得的资源、奖励都是很丰厚的，相比排名低的玩家会更快进步且获得关注。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原因：网民更易受早期（已出现的）成功案例的影响，而这些已获得关注的事物上就出现了“强者越强”的现象；在评价一些新生事物时网民也易受成功案例的影响，从而影响新生事物热度的偏向。</w:t>
      </w:r>
    </w:p>
    <w:p/>
    <w:p/>
    <w:p/>
    <w:p/>
    <w:p/>
    <w:p/>
    <w:p>
      <w:r>
        <w:drawing>
          <wp:inline distT="0" distB="0" distL="114300" distR="114300">
            <wp:extent cx="5262880" cy="29241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865" cy="17437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055" cy="649287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8443E7"/>
    <w:multiLevelType w:val="singleLevel"/>
    <w:tmpl w:val="CE8443E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yN2QyODZkYzQzMDViN2FhNTI5YjgxMDMwMzcxOTAifQ=="/>
  </w:docVars>
  <w:rsids>
    <w:rsidRoot w:val="00000000"/>
    <w:rsid w:val="19105DEB"/>
    <w:rsid w:val="3EA5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2023-12-13T07:25:00Z</dcterms:created>
  <dc:creator>X5790</dc:creator>
  <cp:lastModifiedBy>-bitterswee-cm7</cp:lastModifiedBy>
  <dcterms:modified xsi:type="dcterms:W3CDTF">2023-12-17T13:15:38Z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9592B9D7E6FA4982A68D49E717626BD0_12</vt:lpwstr>
  </property>
</Properties>
</file>