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WiDS 2026 Kaggle Competition - Technical Highlights</w:t>
      </w:r>
    </w:p>
    <w:p/>
    <w:p>
      <w:pPr>
        <w:pStyle w:val="Heading1"/>
      </w:pPr>
      <w:r>
        <w:t>1. Survival Analysis Multi-Model Stacking System</w:t>
      </w:r>
    </w:p>
    <w:p>
      <w:r>
        <w:rPr>
          <w:b w:val="0"/>
        </w:rPr>
        <w:t>In the WiDS 2026 Kaggle competition, I built a multi-layer stacking survival analysis system for predicting multi-horizon (12h/24h/48h/72h) event probabilities in wildfire-affected regions.</w:t>
      </w:r>
    </w:p>
    <w:p>
      <w:r>
        <w:rPr>
          <w:b/>
        </w:rPr>
        <w:t xml:space="preserve">Base Layer: </w:t>
      </w:r>
      <w:r>
        <w:t>Integrated 10+ survival models including Cox PH, Weibull AFT, LogNormal AFT, Random Survival Forest, Extra Survival Trees, Gradient Boosting Survival Analysis, XGBoost Cox (with Breslow baseline hazard estimation), and multi-horizon XGBoost/LightGBM/CatBoost classifiers. All models expose a unified {horizon: probability} prediction interface.</w:t>
      </w:r>
    </w:p>
    <w:p>
      <w:r>
        <w:rPr>
          <w:b/>
        </w:rPr>
        <w:t xml:space="preserve">Anti-Leakage Stacking Design: </w:t>
      </w:r>
      <w:r>
        <w:t>The stacking head uses a per-horizon architecture (12h/24h/48h trained independently). The key design is anti-leakage fold-internal base reconstruction: each outer fold retrains base models, and inner CV generates base_train_oof for head training, ensuring the head never sees leaked base predictions. The meta-learner uses LogisticRegression (C=0.1) trained on OOF 12h predictions, with interpretable coefficients.</w:t>
      </w:r>
    </w:p>
    <w:p>
      <w:r>
        <w:rPr>
          <w:b/>
        </w:rPr>
        <w:t xml:space="preserve">Variance Reduction: </w:t>
      </w:r>
      <w:r>
        <w:t>3-5 seed averaging combined with RepeatedStratifiedKFold (5x3) and event/time-bin stratification ensures stable evaluation.</w:t>
      </w:r>
    </w:p>
    <w:p>
      <w:pPr>
        <w:pStyle w:val="Heading1"/>
      </w:pPr>
      <w:r>
        <w:t>2. Model Calibration Techniques</w:t>
      </w:r>
    </w:p>
    <w:p>
      <w:r>
        <w:t>To address the probability distribution compression issue (12h prediction median only 0.036-0.050, far below the target 0.15), I implemented and iterated on multiple calibration methods:</w:t>
      </w:r>
    </w:p>
    <w:p>
      <w:pPr>
        <w:pStyle w:val="ListBullet"/>
      </w:pPr>
      <w:r>
        <w:rPr>
          <w:b/>
        </w:rPr>
        <w:t xml:space="preserve">Platt Scaling: </w:t>
      </w:r>
      <w:r>
        <w:t>LogisticRegression (C=0.1) logistic mapping on raw probabilities.</w:t>
      </w:r>
    </w:p>
    <w:p>
      <w:pPr>
        <w:pStyle w:val="ListBullet"/>
      </w:pPr>
      <w:r>
        <w:rPr>
          <w:b/>
        </w:rPr>
        <w:t xml:space="preserve">Odds Scaling: </w:t>
      </w:r>
      <w:r>
        <w:t>Monotone single-parameter mapping p' = (s*p/(1-p)) / (1 + s*p/(1-p)), optimized via Brier score minimization.</w:t>
      </w:r>
    </w:p>
    <w:p>
      <w:pPr>
        <w:pStyle w:val="ListBullet"/>
      </w:pPr>
      <w:r>
        <w:rPr>
          <w:b/>
        </w:rPr>
        <w:t xml:space="preserve">Isotonic Regression: </w:t>
      </w:r>
      <w:r>
        <w:t>Non-parametric monotone calibration.</w:t>
      </w:r>
    </w:p>
    <w:p>
      <w:pPr>
        <w:pStyle w:val="ListBullet"/>
      </w:pPr>
      <w:r>
        <w:rPr>
          <w:b/>
        </w:rPr>
        <w:t xml:space="preserve">Logit-Space Linear Calibration: </w:t>
      </w:r>
      <w:r>
        <w:t>logit(p_new) = (1-λ)*logit(p_anchor) + λ*(a*logit(p_anchor) + b), with parameters a=1.0655, b=-0.0108 estimated from bootstrap median.</w:t>
      </w:r>
    </w:p>
    <w:p>
      <w:r>
        <w:rPr>
          <w:b/>
        </w:rPr>
        <w:t xml:space="preserve">Key Innovation - Gap-Gated Coupling Strategy: </w:t>
      </w:r>
      <w:r>
        <w:t>Dynamically adjusts calibration strength based on the sample's p48-p24 gap. Small-gap samples use r_high=1.0 (aggressive push), large-gap samples use r_low=0.7 (conservative), with gate thresholds [0.012, 0.018]. This strategy improved Kaggle LB from 0.96780 to 0.96783 (Personal Best).</w:t>
      </w:r>
    </w:p>
    <w:p>
      <w:pPr>
        <w:pStyle w:val="Heading1"/>
      </w:pPr>
      <w:r>
        <w:t>3. Systematic Experiment Management</w:t>
      </w:r>
    </w:p>
    <w:p>
      <w:r>
        <w:t>Conducted 38+ formal experiments throughout the competition, each recording CV Hybrid, CV C-index, CV Weighted Brier, and Kaggle LB scores.</w:t>
      </w:r>
    </w:p>
    <w:p>
      <w:pPr>
        <w:pStyle w:val="Heading2"/>
      </w:pPr>
      <w:r>
        <w:t>Experiment Categories:</w:t>
      </w:r>
    </w:p>
    <w:p>
      <w:pPr>
        <w:pStyle w:val="ListBullet"/>
      </w:pPr>
      <w:r>
        <w:rPr>
          <w:b/>
        </w:rPr>
        <w:t xml:space="preserve">Backward Elimination Feature Selection: </w:t>
      </w:r>
      <w:r>
        <w:t>Starting from 44 full features, systematically eliminated features to identify 36-feature (MEDIUM) as optimal subset, and 16+3 engineered features (v96624) as compact variant.</w:t>
      </w:r>
    </w:p>
    <w:p>
      <w:pPr>
        <w:pStyle w:val="ListBullet"/>
      </w:pPr>
      <w:r>
        <w:rPr>
          <w:b/>
        </w:rPr>
        <w:t xml:space="preserve">Hyperparameter Grid Search: </w:t>
      </w:r>
      <w:r>
        <w:t>Two rounds of RSF hyperparameter optimization.</w:t>
      </w:r>
    </w:p>
    <w:p>
      <w:pPr>
        <w:pStyle w:val="ListBullet"/>
      </w:pPr>
      <w:r>
        <w:rPr>
          <w:b/>
        </w:rPr>
        <w:t xml:space="preserve">Ablation Studies: </w:t>
      </w:r>
      <w:r>
        <w:t>Ablated calibration parameters (λ from 0.2 to 2.0), ensemble weights, feature sets, and base model combinations to quantify marginal contribution of each component.</w:t>
      </w:r>
    </w:p>
    <w:p>
      <w:pPr>
        <w:pStyle w:val="ListBullet"/>
      </w:pPr>
      <w:r>
        <w:rPr>
          <w:b/>
        </w:rPr>
        <w:t xml:space="preserve">CV-LB Gap Analysis: </w:t>
      </w:r>
      <w:r>
        <w:t>Identified CV Hybrid 0.9751 mapping to LB 0.96250 (0.05 gap), diagnosing overfitting as the primary bottleneck.</w:t>
      </w:r>
    </w:p>
    <w:p>
      <w:pPr>
        <w:pStyle w:val="Heading2"/>
      </w:pPr>
      <w:r>
        <w:t>Performance Trajectory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Kaggle LB</w:t>
            </w:r>
          </w:p>
        </w:tc>
        <w:tc>
          <w:tcPr>
            <w:tcW w:type="dxa" w:w="2880"/>
          </w:tcPr>
          <w:p>
            <w:r>
              <w:t>Key Change</w:t>
            </w:r>
          </w:p>
        </w:tc>
      </w:tr>
      <w:tr>
        <w:tc>
          <w:tcPr>
            <w:tcW w:type="dxa" w:w="2880"/>
          </w:tcPr>
          <w:p>
            <w:r>
              <w:t>Feb 8</w:t>
            </w:r>
          </w:p>
        </w:tc>
        <w:tc>
          <w:tcPr>
            <w:tcW w:type="dxa" w:w="2880"/>
          </w:tcPr>
          <w:p>
            <w:r>
              <w:t>0.95054</w:t>
            </w:r>
          </w:p>
        </w:tc>
        <w:tc>
          <w:tcPr>
            <w:tcW w:type="dxa" w:w="2880"/>
          </w:tcPr>
          <w:p>
            <w:r>
              <w:t>Ensemble baseline</w:t>
            </w:r>
          </w:p>
        </w:tc>
      </w:tr>
      <w:tr>
        <w:tc>
          <w:tcPr>
            <w:tcW w:type="dxa" w:w="2880"/>
          </w:tcPr>
          <w:p>
            <w:r>
              <w:t>Feb 11</w:t>
            </w:r>
          </w:p>
        </w:tc>
        <w:tc>
          <w:tcPr>
            <w:tcW w:type="dxa" w:w="2880"/>
          </w:tcPr>
          <w:p>
            <w:r>
              <w:t>0.96174</w:t>
            </w:r>
          </w:p>
        </w:tc>
        <w:tc>
          <w:tcPr>
            <w:tcW w:type="dxa" w:w="2880"/>
          </w:tcPr>
          <w:p>
            <w:r>
              <w:t>MEDIUM features (36)</w:t>
            </w:r>
          </w:p>
        </w:tc>
      </w:tr>
      <w:tr>
        <w:tc>
          <w:tcPr>
            <w:tcW w:type="dxa" w:w="2880"/>
          </w:tcPr>
          <w:p>
            <w:r>
              <w:t>Feb 14</w:t>
            </w:r>
          </w:p>
        </w:tc>
        <w:tc>
          <w:tcPr>
            <w:tcW w:type="dxa" w:w="2880"/>
          </w:tcPr>
          <w:p>
            <w:r>
              <w:t>0.96670</w:t>
            </w:r>
          </w:p>
        </w:tc>
        <w:tc>
          <w:tcPr>
            <w:tcW w:type="dxa" w:w="2880"/>
          </w:tcPr>
          <w:p>
            <w:r>
              <w:t>Logit calibration, λ=1.05</w:t>
            </w:r>
          </w:p>
        </w:tc>
      </w:tr>
      <w:tr>
        <w:tc>
          <w:tcPr>
            <w:tcW w:type="dxa" w:w="2880"/>
          </w:tcPr>
          <w:p>
            <w:r>
              <w:t>Feb 15</w:t>
            </w:r>
          </w:p>
        </w:tc>
        <w:tc>
          <w:tcPr>
            <w:tcW w:type="dxa" w:w="2880"/>
          </w:tcPr>
          <w:p>
            <w:r>
              <w:t>0.96713</w:t>
            </w:r>
          </w:p>
        </w:tc>
        <w:tc>
          <w:tcPr>
            <w:tcW w:type="dxa" w:w="2880"/>
          </w:tcPr>
          <w:p>
            <w:r>
              <w:t>Coupled 24h/48h push</w:t>
            </w:r>
          </w:p>
        </w:tc>
      </w:tr>
      <w:tr>
        <w:tc>
          <w:tcPr>
            <w:tcW w:type="dxa" w:w="2880"/>
          </w:tcPr>
          <w:p>
            <w:r>
              <w:t>Feb 19</w:t>
            </w:r>
          </w:p>
        </w:tc>
        <w:tc>
          <w:tcPr>
            <w:tcW w:type="dxa" w:w="2880"/>
          </w:tcPr>
          <w:p>
            <w:r>
              <w:t>0.96780</w:t>
            </w:r>
          </w:p>
        </w:tc>
        <w:tc>
          <w:tcPr>
            <w:tcW w:type="dxa" w:w="2880"/>
          </w:tcPr>
          <w:p>
            <w:r>
              <w:t>Gap-gated r, λ=6.0</w:t>
            </w:r>
          </w:p>
        </w:tc>
      </w:tr>
      <w:tr>
        <w:tc>
          <w:tcPr>
            <w:tcW w:type="dxa" w:w="2880"/>
          </w:tcPr>
          <w:p>
            <w:r>
              <w:t>Feb 20</w:t>
            </w:r>
          </w:p>
        </w:tc>
        <w:tc>
          <w:tcPr>
            <w:tcW w:type="dxa" w:w="2880"/>
          </w:tcPr>
          <w:p>
            <w:r>
              <w:t>0.96783</w:t>
            </w:r>
          </w:p>
        </w:tc>
        <w:tc>
          <w:tcPr>
            <w:tcW w:type="dxa" w:w="2880"/>
          </w:tcPr>
          <w:p>
            <w:r>
              <w:t>Refined gate thresholds (PB)</w:t>
            </w:r>
          </w:p>
        </w:tc>
      </w:tr>
    </w:tbl>
    <w:p/>
    <w:p>
      <w:pPr>
        <w:pStyle w:val="Heading1"/>
      </w:pPr>
      <w:r>
        <w:t>Summary</w:t>
      </w:r>
    </w:p>
    <w:p>
      <w:r>
        <w:t xml:space="preserve">+1.7 percentage points improvement over two weeks, </w:t>
      </w:r>
      <w:r>
        <w:rPr>
          <w:b/>
        </w:rPr>
        <w:t>from 0.95054 to 0.96783</w:t>
      </w:r>
      <w:r>
        <w:t>, through systematic experimentation with survival analysis modeling, advanced calibration, and rigorous ablation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