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升主动脉瘤与急性 A 型主动脉夹层受大部分不同的分子程序驱动：基于人主动脉转录组的整合 meta 分析及单细胞验证</w:t>
      </w:r>
    </w:p>
    <w:p>
      <w:r>
        <w:rPr>
          <w:b/>
        </w:rPr>
        <w:t>Journal of Translational Medicine – 研究论文（投稿草稿，中文版；英文投稿稿见 manuscript.md / manuscript_JTM.docx）</w:t>
      </w:r>
    </w:p>
    <w:p>
      <w:r>
        <w:t>作者：[第一作者]</w:t>
      </w:r>
      <w:r>
        <w:rPr>
          <w:vertAlign w:val="superscript"/>
        </w:rPr>
        <w:t>1</w:t>
      </w:r>
      <w:r>
        <w:t>，[共同作者]</w:t>
      </w:r>
      <w:r>
        <w:rPr>
          <w:vertAlign w:val="superscript"/>
        </w:rPr>
        <w:t>1,2</w:t>
      </w:r>
      <w:r>
        <w:t>，[通讯作者]</w:t>
      </w:r>
      <w:r>
        <w:rPr>
          <w:vertAlign w:val="superscript"/>
        </w:rPr>
        <w:t>1*</w:t>
      </w:r>
    </w:p>
    <w:p>
      <w:r>
        <w:rPr>
          <w:vertAlign w:val="superscript"/>
        </w:rPr>
        <w:t>1</w:t>
      </w:r>
      <w:r>
        <w:t xml:space="preserve"> [科室，单位，城市，国家]；</w:t>
      </w:r>
      <w:r>
        <w:rPr>
          <w:vertAlign w:val="superscript"/>
        </w:rPr>
        <w:t>2</w:t>
      </w:r>
      <w:r>
        <w:t xml:space="preserve"> [科室，单位，城市，国家]</w:t>
      </w:r>
    </w:p>
    <w:p>
      <w:r>
        <w:t>\* 通讯作者：[姓名，电子邮箱]</w:t>
      </w:r>
    </w:p>
    <w:p>
      <w:pPr>
        <w:pStyle w:val="Heading1"/>
      </w:pPr>
      <w:r>
        <w:t>摘要</w:t>
      </w:r>
    </w:p>
    <w:p>
      <w:r>
        <w:rPr>
          <w:b/>
        </w:rPr>
        <w:t>背景</w:t>
      </w:r>
      <w:r>
        <w:t xml:space="preserve"> 升主动脉瘤（ascending thoracic aortic aneurysm，ATAA）与急性 Stanford A 型主动脉夹层（type A aortic dissection，TAAD）常被视为同一退行性过程的不同阶段，但多数夹层发生于未达手术直径阈值的主动脉，二者的分子关系从未被系统界定。</w:t>
      </w:r>
    </w:p>
    <w:p>
      <w:r>
        <w:rPr>
          <w:b/>
        </w:rPr>
        <w:t>方法</w:t>
      </w:r>
      <w:r>
        <w:t xml:space="preserve"> 对 GEO 中所有比较病变与非病变主动脉的人类升/胸主动脉组织转录组进行统一处理（ATAA：4 个队列，n=115；TAAD：6 个队列，n=76）。各队列差异表达结果以随机效应 meta 分析合并，用疾病间差异统计量对基因分类，并对 meta 排序进行 GSEA 比较通路。以整合升主动脉单细胞图谱（73,755 个细胞）衍生的标志基因集进行 ssGSEA 推断细胞组成。结果在一个直接比较夹层与扩张中膜的独立显微区域 RNA-seq 队列中验证，并以留一队列（LOCO）分类器验证。</w:t>
      </w:r>
    </w:p>
    <w:p>
      <w:r>
        <w:rPr>
          <w:b/>
        </w:rPr>
        <w:t>结果</w:t>
      </w:r>
      <w:r>
        <w:t xml:space="preserve"> TAAD 签名高度可重复（2,198 个共识基因；队列间 ρ=0.50），而 ATAA 签名弱且依赖队列（499 个基因；ρ=0.12）。两病的全基因组效应量仅弱相关（ρ=0.11），仅 137 个基因共享。TAAD 特异性改变（1,780 个基因）包括平滑肌收缩程序丢失（</w:t>
      </w:r>
      <w:r>
        <w:rPr>
          <w:i/>
        </w:rPr>
        <w:t>MYOCD</w:t>
      </w:r>
      <w:r>
        <w:t>、</w:t>
      </w:r>
      <w:r>
        <w:rPr>
          <w:i/>
        </w:rPr>
        <w:t>ACTA2</w:t>
      </w:r>
      <w:r>
        <w:t>、</w:t>
      </w:r>
      <w:r>
        <w:rPr>
          <w:i/>
        </w:rPr>
        <w:t>CNN1</w:t>
      </w:r>
      <w:r>
        <w:t>）与内皮/外膜转录本丢失，以及缺氧/氧化应激（</w:t>
      </w:r>
      <w:r>
        <w:rPr>
          <w:i/>
        </w:rPr>
        <w:t>HMOX1</w:t>
      </w:r>
      <w:r>
        <w:t>、</w:t>
      </w:r>
      <w:r>
        <w:rPr>
          <w:i/>
        </w:rPr>
        <w:t>MT2A</w:t>
      </w:r>
      <w:r>
        <w:t>、</w:t>
      </w:r>
      <w:r>
        <w:rPr>
          <w:i/>
        </w:rPr>
        <w:t>VEGFA</w:t>
      </w:r>
      <w:r>
        <w:t>）、MYC/mTORC1/E2F、p53、未折叠蛋白反应和固有炎症程序（</w:t>
      </w:r>
      <w:r>
        <w:rPr>
          <w:i/>
        </w:rPr>
        <w:t>IL6</w:t>
      </w:r>
      <w:r>
        <w:t>、</w:t>
      </w:r>
      <w:r>
        <w:rPr>
          <w:i/>
        </w:rPr>
        <w:t>CXCL8</w:t>
      </w:r>
      <w:r>
        <w:t>、</w:t>
      </w:r>
      <w:r>
        <w:rPr>
          <w:i/>
        </w:rPr>
        <w:t>S100A8/A9</w:t>
      </w:r>
      <w:r>
        <w:t>）的激活；</w:t>
      </w:r>
      <w:r>
        <w:rPr>
          <w:i/>
        </w:rPr>
        <w:t>AKT1</w:t>
      </w:r>
      <w:r>
        <w:t>、</w:t>
      </w:r>
      <w:r>
        <w:rPr>
          <w:i/>
        </w:rPr>
        <w:t>STAT3</w:t>
      </w:r>
      <w:r>
        <w:t xml:space="preserve"> 与 </w:t>
      </w:r>
      <w:r>
        <w:rPr>
          <w:i/>
        </w:rPr>
        <w:t>MYC</w:t>
      </w:r>
      <w:r>
        <w:t xml:space="preserve"> 为网络枢纽。ATAA 富集的改变（230 个基因）集中于 I 型干扰素信号（</w:t>
      </w:r>
      <w:r>
        <w:rPr>
          <w:i/>
        </w:rPr>
        <w:t>OAS1-3</w:t>
      </w:r>
      <w:r>
        <w:t>、</w:t>
      </w:r>
      <w:r>
        <w:rPr>
          <w:i/>
        </w:rPr>
        <w:t>IFIT1-3</w:t>
      </w:r>
      <w:r>
        <w:t>、</w:t>
      </w:r>
      <w:r>
        <w:rPr>
          <w:i/>
        </w:rPr>
        <w:t>CXCL10</w:t>
      </w:r>
      <w:r>
        <w:t>）、MHC II 类抗原呈递（</w:t>
      </w:r>
      <w:r>
        <w:rPr>
          <w:i/>
        </w:rPr>
        <w:t>CD74</w:t>
      </w:r>
      <w:r>
        <w:t>、</w:t>
      </w:r>
      <w:r>
        <w:rPr>
          <w:i/>
        </w:rPr>
        <w:t>HLA-DR/DP</w:t>
      </w:r>
      <w:r>
        <w:t>）及胶原基因。细胞组成推断显示 TAAD 中平滑肌、成纤维细胞与内皮细胞签名减少并伴 S100A8/A9⁺ 髓系细胞浸润，而 ATAA 为淋巴细胞浸润且无平滑肌丢失。通路差异在直接比较队列中得到复现（ρ=0.42），LOCO 分类器可区分 TAAD 与 ATAA（AUC 0.92）。</w:t>
      </w:r>
    </w:p>
    <w:p>
      <w:r>
        <w:rPr>
          <w:b/>
        </w:rPr>
        <w:t>结论</w:t>
      </w:r>
      <w:r>
        <w:t xml:space="preserve"> ATAA 与 TAAD 共享有限的 NF-κB/IL-6/缺氧核心，但总体上受不同程序驱动：动脉瘤为干扰素/适应性免疫激活伴基质重塑，夹层为急性细胞应激、平滑肌丢失与固有炎症。这一结果不支持简单的"连续体"模型，并提供了疾病特异的靶点与生物标志物候选。</w:t>
      </w:r>
    </w:p>
    <w:p>
      <w:r>
        <w:rPr>
          <w:b/>
        </w:rPr>
        <w:t>关键词：</w:t>
      </w:r>
      <w:r>
        <w:t xml:space="preserve"> 升主动脉瘤；A 型主动脉夹层；转录组；meta 分析；单细胞 RNA 测序；平滑肌细胞；干扰素；炎症</w:t>
      </w:r>
    </w:p>
    <w:p>
      <w:pPr>
        <w:pStyle w:val="Heading1"/>
      </w:pPr>
      <w:r>
        <w:t>背景</w:t>
      </w:r>
    </w:p>
    <w:p>
      <w:r>
        <w:t>升主动脉疾病的临床谱从无症状扩张延伸至急性 Stanford A 型主动脉夹层（TAAD）——一种未经治疗时每小时死亡率达 1–2% 的外科急症 [1,2]。现行指南将升主动脉瘤（ATAA）视为夹层的主要可干预前驱状态，推荐在直径超过 5.0–5.5 cm 时行预防性置换 [1]。然而，国际急性主动脉夹层注册研究（IRAD）显示约 60% 的 A 型夹层发生在直径小于 5.5 cm 的主动脉，其中许多甚至达不到任何动脉瘤的定义 [2,3]；反之，许多动脉瘤可数十年保持稳定。这些观察提示，瘤样扩张与夹层可能至少部分由不同的生物学过程驱动，而非单一退行性连续体 [4–6]。</w:t>
      </w:r>
    </w:p>
    <w:p>
      <w:r>
        <w:t>组织病理学上，两者均表现为中膜退变，伴弹力纤维断裂、蛋白聚糖沉积与平滑肌细胞（SMC）丢失 [5,7]。夹层组织另有内膜撕裂、壁内出血和富含中性粒细胞与巨噬细胞的强烈炎症浸润 [8–11]；而动脉瘤组织以淋巴细胞为主的浸润和中膜增生性重塑为特征 [12,13]。遗传学研究发现了共同的易感基因，编码 SMC 收缩装置、细胞外基质（ECM）和 TGF-β 信号组分 [14–16]，支持主动脉壁存在共同的易损性，但无法解释为何某一主动脉发生扩张而非夹层。</w:t>
      </w:r>
    </w:p>
    <w:p>
      <w:r>
        <w:t>两种疾病的手术标本均已多次进行转录组分析，并催生了大量生物信息学再分析。然而几乎所有研究仅考察单一队列，尚无研究在多队列间正式比较动脉瘤与夹层签名，也无人检验这些差异能否在直接的同队列比较中成立。已发表主动脉签名的可重复性亦未知，而许多候选标志物和"枢纽基因"正是源自小样本单一数据集 [17,18]。</w:t>
      </w:r>
    </w:p>
    <w:p>
      <w:r>
        <w:t>本研究汇集了所有公开的、比较病变与非病变主动脉的人类升/胸主动脉组织转录组，以单一流程重新处理，并对每种疾病进行随机效应 meta 分析；随后在基因、通路和推断细胞组成三个层面比较两种疾病，并在一个直接对比夹层与扩张中膜的独立显微区域 RNA-seq 队列、一个整合的人升主动脉单细胞图谱以及留一队列机器学习框架中验证差异。结果表明，ATAA 与 TAAD 是转录组学上不同的疾病，仅有较小的共享核心。</w:t>
      </w:r>
    </w:p>
    <w:p>
      <w:pPr>
        <w:pStyle w:val="Heading1"/>
      </w:pPr>
      <w:r>
        <w:t>方法</w:t>
      </w:r>
    </w:p>
    <w:p>
      <w:pPr>
        <w:pStyle w:val="Heading2"/>
      </w:pPr>
      <w:r>
        <w:t>数据来源与纳入标准</w:t>
      </w:r>
    </w:p>
    <w:p>
      <w:r>
        <w:t>于 2026 年 9 月 29 日检索 GEO DataSets 中的人类表达谱系列（芯片或高通量测序），检索词为"aortic dissection"、"ascending aortic aneurysm"、"thoracic aortic aneurysm"及"ascending aorta AND aneurysm"（附加文件 1）。纳入标准：对散发性 ATAA 或急性 TAAD 患者的升/胸主动脉 bulk 组织与非病变主动脉组织（器官供体、心脏移植供体或心脏手术患者的未扩张主动脉）进行比较，并提供可用的处理后表达数据或可重新处理的原始数据。排除细胞培养实验、外周血、腹主动脉瘤、动物模型，以及将动脉瘤与夹层混合而无法区分标签的系列（GSE314998）。共 10 个"疾病 vs 对照"bulk 队列符合标准（表 1）。另纳入一个直接比较夹层与扩张主动脉中膜的显微区域 RNA-seq 系列（GSE318877）和两个升主动脉单细胞 RNA-seq（scRNA-seq）系列（GSE155468，ATAA；GSE213740，TAAD）用于验证。动脉瘤与夹层 SMC 培养芯片（GSE219204）因缺乏基因水平数据未予分析。</w:t>
      </w:r>
    </w:p>
    <w:p>
      <w:pPr>
        <w:pStyle w:val="Heading2"/>
      </w:pPr>
      <w:r>
        <w:t>预处理</w:t>
      </w:r>
    </w:p>
    <w:p>
      <w:r>
        <w:t>所有队列以单一 Python 流程处理（附加文件 2）。基因符号依据 NCBI gene_info 别名表统一为现行命名；同一基因的多个探针取平均强度最高者（芯片）或求和（counts/FPKM）。平台特异步骤：GSE26155，Affymetrix Human Exon 1.0 ST 的 RMA 转录簇值经 GPL5175 基因注释，限定三叶瓣患者的内膜-中膜活检，按扩张（&gt;45 mm）与未扩张（&lt;40 mm）分组（"临界"样本剔除）；GSE52093，Illumina HumanHT-12 v4 原始（未标准化）强度重新处理（log2 转换、分位数标准化，探针在 ≥3 张芯片检出 P&lt;0.05 时保留），样本身份经与 GEO 矩阵的秩相关确认；GSE98770，因 GEO 上传的 GeneSpring 矩阵不含任何分组相关信号，故从原始 Agilent Feature Extraction 文件的 gProcessedSignal 重新处理（log2、分位数标准化、探针在 ≥3 张芯片显著高于背景）；GSE190635，MAS5 log2 值（GPL570 注释）；GSE140947，基因 counts，每例受试者的两个区域样本（动脉瘤体+瘤颈；供体升主动脉中段+远段）求和得到受试者水平文库（6 vs 6）；GSE153434、GSE202267 与 GSE294606，基因 counts；GSE235161，来自总 RNA 文库的 FPKM，因 rRNA 与 7SL 转录本主导原始值，限定蛋白编码基因、重新缩放为每百万转录本并分位数标准化；GSE267434，转录本水平 FPKM 依 Ensembl release 110 汇总到基因；GSE147026，上传的标准化表达值。对 GSE318877，70 个穿刺样本水平的 count 文件（每例患者中膜 4 个显微区域，各 2–3 个重复）按受试者求和用于主要的受试者水平比较（3 例夹层 vs 4 例扩张），并在穿刺样本水平进行签名评分。</w:t>
      </w:r>
    </w:p>
    <w:p>
      <w:pPr>
        <w:pStyle w:val="Heading2"/>
      </w:pPr>
      <w:r>
        <w:t>差异表达与质量控制</w:t>
      </w:r>
    </w:p>
    <w:p>
      <w:r>
        <w:t>count 数据以 DESeq2（PyDESeq2 v0.5.4 实现；Wald 检验，设计 ~group；基因需在不少于较小组样本数的样本中 counts ≥10）估计差异表达 [19,20]。芯片和标准化表达数据采用 limma 线性模型加经验贝叶斯校正并启用均值-方差趋势选项（limma-trend，inmoose 实现）[21]。错误发现率（FDR）以 Benjamini–Hochberg 法控制 [22]。逐队列检查主成分分析和火山图（附加文件 3）。队列间一致性以两队列中任一 FDR&lt;0.05 的基因上校正统计量的 Spearman 相关量化。GSE190635 因其谱与其他所有 TAAD 队列呈负相关（ρ = −0.37 至 −0.68）——提示上传数据分组标签不一致——而被排除，但为透明起见仍保留在一致性矩阵中。</w:t>
      </w:r>
    </w:p>
    <w:p>
      <w:pPr>
        <w:pStyle w:val="Heading2"/>
      </w:pPr>
      <w:r>
        <w:t>Meta 分析与基因分类</w:t>
      </w:r>
    </w:p>
    <w:p>
      <w:r>
        <w:t>对每种疾病，队列统计量以 Stouffer 加权 Z 法（权重 = √n）合并，效应量以 DerSimonian–Laird 随机效应模型合并 log2 倍数变化，以 I² 衡量异质性 [23,24]。仅考虑在 ≥75% 队列中存在的基因。共识差异表达基因（DEG）须满足 meta-FDR&lt;0.05、在 ≥75% 队列中方向一致、且在 ≥50% 队列中名义 P&lt;0.05 且方向一致。以留一队列（LOCO）重分析评估稳健性。基因分类为：</w:t>
      </w:r>
      <w:r>
        <w:rPr>
          <w:i/>
        </w:rPr>
        <w:t>共享</w:t>
      </w:r>
      <w:r>
        <w:t>（两病均为共识 DEG 且方向相同）、</w:t>
      </w:r>
      <w:r>
        <w:rPr>
          <w:i/>
        </w:rPr>
        <w:t>方向相反</w:t>
      </w:r>
      <w:r>
        <w:t>（两病均为 DEG 但方向相反）、</w:t>
      </w:r>
      <w:r>
        <w:rPr>
          <w:i/>
        </w:rPr>
        <w:t>TAAD 特异</w:t>
      </w:r>
      <w:r>
        <w:t>（TAAD 中为共识 DEG；ATAA 中 meta-FDR&gt;0.10 或方向相反）、</w:t>
      </w:r>
      <w:r>
        <w:rPr>
          <w:i/>
        </w:rPr>
        <w:t>ATAA 特异</w:t>
      </w:r>
      <w:r>
        <w:t>（镜像定义），或在某一疾病中</w:t>
      </w:r>
      <w:r>
        <w:rPr>
          <w:i/>
        </w:rPr>
        <w:t>更强</w:t>
      </w:r>
      <w:r>
        <w:t>（一病为 DEG，另一病有一致方向的 meta-FDR ≤0.10 趋势）。疾病间差异以 z_diff = (LFC_TAAD − LFC_ATAA)/√(SE_TAAD² + SE_ATAA²) 正式检验；"严格"特异基因另需 FDR_diff&lt;0.05。共识 DEG 集合的重叠以超几何分布检验。</w:t>
      </w:r>
    </w:p>
    <w:p>
      <w:pPr>
        <w:pStyle w:val="Heading2"/>
      </w:pPr>
      <w:r>
        <w:t>通路分析</w:t>
      </w:r>
    </w:p>
    <w:p>
      <w:r>
        <w:t>对每个队列的校正统计量及三种 meta 排序（ATAA meta-z、TAAD meta-z 及差异统计量 z_diff）运行预排序 GSEA（gseapy v1.3.1；1,000 次置换；基因集大小 15–500）[25,26]，使用 MSigDB v2024.1 的 Hallmark、KEGG（legacy）和 Reactome 集合 [27]。依据疾病排序上 FDR&lt;0.05 和差异排序上 FDR_diff&lt;0.05，将通路分类为共享、TAAD 特异、ATAA 特异或方向相反。基因类别的富集分析（超几何检验，以全部 meta 分析基因为背景）使用 Enrichr 的 GO Biological Process 2023、KEGG 2021、Reactome 2022、MSigDB Hallmark 2020 和 TRRUST 2019 库 [28]。</w:t>
      </w:r>
    </w:p>
    <w:p>
      <w:pPr>
        <w:pStyle w:val="Heading2"/>
      </w:pPr>
      <w:r>
        <w:t>单细胞图谱与细胞组成推断</w:t>
      </w:r>
    </w:p>
    <w:p>
      <w:r>
        <w:t>GSE155468（8 例 ATAA、3 例对照）与 GSE213740（6 例 TAAD、3 例供体）的细胞经质控过滤（200–6,000 个基因、线粒体读段 &lt;20%），每样本下采样至 ≤4,000 个细胞，标准化、对数转换后基于 2,000 个高变基因的 40 个主成分以 Harmony 整合（Scanpy v1.11）[29,30]。Leiden 聚类（分辨率 0.8）以经典标志基因和簇水平标志基因发现进行注释；一个共表达髓系与壁细胞基因的簇（906 个细胞）作为疑似双细胞剔除，最终保留 73,755 个细胞、12 种细胞类型。细胞类型标志基因集（≤50 个基因；一对多 Wilcoxon 检验，log2FC&gt;1.5，校正 P&lt;0.01，在该类型 &gt;30% 细胞、其他细胞 &lt;25% 表达）用作 bulk 队列的单样本 GSEA（ssGSEA）基因集 [31,32]。ssGSEA 评分在队列内 z 标准化，疾病对对照的效应以 Hedges' g 表示并按疾病以随机效应 meta 分析合并。基于标志基因的评分可在 scRNA-seq 数据的样本水平伪 bulk 谱中恢复真实比例（SMC、成纤维细胞、内皮细胞、巨噬细胞和 T 细胞评分的 Spearman ρ = 0.94–0.96；附加文件 4）。细胞类型分辨的伪 bulk 谱（每样本每细胞类型 counts 求和，≥10 个细胞）以 limma-trend 检验，用于评估 bulk 基因类别的细胞来源及细胞类型特异的复现。</w:t>
      </w:r>
    </w:p>
    <w:p>
      <w:pPr>
        <w:pStyle w:val="Heading2"/>
      </w:pPr>
      <w:r>
        <w:t>蛋白-蛋白相互作用网络</w:t>
      </w:r>
    </w:p>
    <w:p>
      <w:r>
        <w:t>TAAD 特异基因（按 |z| 前 1,200 个）与 ATAA 特异基因提交 STRING v12（人，综合评分 ≥700）[33]；以 NetworkX 计算度、最大团中心性和介数。</w:t>
      </w:r>
    </w:p>
    <w:p>
      <w:pPr>
        <w:pStyle w:val="Heading2"/>
      </w:pPr>
      <w:r>
        <w:t>对照参照签名评分与机器学习</w:t>
      </w:r>
    </w:p>
    <w:p>
      <w:r>
        <w:t>为跨平台比较样本，每个疾病样本均相对其所在队列的非病变对照表达（逐基因 z 分数，以对照均值与 SD 计算，截断于 ±10）。签名评分 = 某类别上调基因 z 均值 − 下调基因 z 均值。以 scikit-learn 的 LOCO 弹性网逻辑回归（L1 比例 0.5，C=0.05，类别平衡）[34,35] 在共识 DEG 的对照参照谱上训练区分夹层与动脉瘤样本，每次留出一个队列；汇总的跨队列 AUC 由留出样本的预测概率计算。GSE318877（无对照）使用队列内 z 分数，并在穿刺样本与受试者水平以 Mann–Whitney 检验比较夹层与扩张。</w:t>
      </w:r>
    </w:p>
    <w:p>
      <w:pPr>
        <w:pStyle w:val="Heading2"/>
      </w:pPr>
      <w:r>
        <w:t>软件与代码</w:t>
      </w:r>
    </w:p>
    <w:p>
      <w:r>
        <w:t>分析使用 Python 3.11 及 pandas、SciPy、statsmodels、scikit-learn、PyDESeq2、inmoose、gseapy、Scanpy、harmonypy 与 NetworkX。全部代码、处理后矩阵与结果表均已提供（见"数据与材料的可获得性"）。</w:t>
      </w:r>
    </w:p>
    <w:p>
      <w:pPr>
        <w:pStyle w:val="Heading1"/>
      </w:pPr>
      <w:r>
        <w:t>结果</w:t>
      </w:r>
    </w:p>
    <w:p>
      <w:pPr>
        <w:pStyle w:val="Heading2"/>
      </w:pPr>
      <w:r>
        <w:t>12 个人类主动脉转录组数据集与可重复性的不对称</w:t>
      </w:r>
    </w:p>
    <w:p>
      <w:r>
        <w:t xml:space="preserve">10 个包含"疾病 vs 非病变"升/胸主动脉组织的 bulk 队列符合纳入标准（表 1；图 1）。ATAA 组包括 4 个队列（n=115；两个发现规模的外显子芯片/RNA-seq 队列和两个较小的 RNA-seq 队列）；TAAD 组包括 6 个队列（n=76）。各队列差异表达在 ATAA 队列分别得到 1,966、1,186、7 和 81 个 FDR&lt;0.05 的基因，在 TAAD 队列分别为 1,928、3,097、1,323、1,408、1,051 和 1,161 个（表 1；附加文件 3）。GSE98770 从原始 Agilent 文件重处理是必要的：上传的 GeneSpring 矩阵未得到任何显著基因且 P 值分布均匀，而重处理后恢复了 1,323 个 DEG，以 </w:t>
      </w:r>
      <w:r>
        <w:rPr>
          <w:i/>
        </w:rPr>
        <w:t>MYOCD</w:t>
      </w:r>
      <w:r>
        <w:t>、</w:t>
      </w:r>
      <w:r>
        <w:rPr>
          <w:i/>
        </w:rPr>
        <w:t>CXCL14</w:t>
      </w:r>
      <w:r>
        <w:t xml:space="preserve"> 和 </w:t>
      </w:r>
      <w:r>
        <w:rPr>
          <w:i/>
        </w:rPr>
        <w:t>PI16</w:t>
      </w:r>
      <w:r>
        <w:t xml:space="preserve"> 的丢失为首。</w:t>
      </w:r>
    </w:p>
    <w:p>
      <w:r>
        <w:t>队列间一致性显示出显著的不对称（图 1b）。尽管平台各异，TAAD 队列彼此高度一致（校正统计量 Spearman ρ 中位数 0.50，范围 0.23–0.71），而 ATAA 队列仅弱一致（ρ 中位数 0.12，范围 −0.09 至 0.22；与 TAAD 队列对比 Mann–Whitney P = 3.7×10⁻⁵）。ATAA 与 TAAD 队列间的一致性亦低（ρ 中位数 0.10）。一个 TAAD 队列（GSE190635）与其他所有 TAAD 队列呈负相关（ρ −0.37 至 −0.68），无法用生物学解释，最可能是分组标签互换，故予以排除。</w:t>
      </w:r>
    </w:p>
    <w:p>
      <w:pPr>
        <w:pStyle w:val="Heading2"/>
      </w:pPr>
      <w:r>
        <w:t>共识签名：稳健的夹层程序与脆弱的动脉瘤程序</w:t>
      </w:r>
    </w:p>
    <w:p>
      <w:r>
        <w:t>随机效应 meta 分析识别出 2,198 个 TAAD 共识 DEG（上调 1,253、下调 945；DEG 的 I² 中位数 62%）和 499 个 ATAA 共识 DEG（上调 274、下调 225；I² 中位数 48%）。LOCO 分析显示 TAAD 签名对任一队列的剔除均稳健（保留 73–85% 的共识基因，方向 100% 保留，效应量 ρ ≥0.99），而 ATAA 签名严重依赖最大队列（剔除 GSE26155 仅保留 9% 的共识基因，剔除 GSE140947 保留 25%，剔除 GSE235161 保留 34%；附加文件 5）。因此 ATAA 签名应视为动脉瘤</w:t>
      </w:r>
      <w:r>
        <w:rPr>
          <w:i/>
        </w:rPr>
        <w:t>富集</w:t>
      </w:r>
      <w:r>
        <w:t>的倾向而非固定程序，下文所有 ATAA 特异发现均在此前提下解释。</w:t>
      </w:r>
    </w:p>
    <w:p>
      <w:r>
        <w:t>TAAD 共识基因以应激与损伤转录本为主（上调：</w:t>
      </w:r>
      <w:r>
        <w:rPr>
          <w:i/>
        </w:rPr>
        <w:t>DEPP1</w:t>
      </w:r>
      <w:r>
        <w:t>、</w:t>
      </w:r>
      <w:r>
        <w:rPr>
          <w:i/>
        </w:rPr>
        <w:t>FAM20C</w:t>
      </w:r>
      <w:r>
        <w:t>、</w:t>
      </w:r>
      <w:r>
        <w:rPr>
          <w:i/>
        </w:rPr>
        <w:t>MTHFD2</w:t>
      </w:r>
      <w:r>
        <w:t>、</w:t>
      </w:r>
      <w:r>
        <w:rPr>
          <w:i/>
        </w:rPr>
        <w:t>MT1X</w:t>
      </w:r>
      <w:r>
        <w:t>、</w:t>
      </w:r>
      <w:r>
        <w:rPr>
          <w:i/>
        </w:rPr>
        <w:t>MT2A</w:t>
      </w:r>
      <w:r>
        <w:t>、</w:t>
      </w:r>
      <w:r>
        <w:rPr>
          <w:i/>
        </w:rPr>
        <w:t>VEGFA</w:t>
      </w:r>
      <w:r>
        <w:t>、</w:t>
      </w:r>
      <w:r>
        <w:rPr>
          <w:i/>
        </w:rPr>
        <w:t>GLRX</w:t>
      </w:r>
      <w:r>
        <w:t>、</w:t>
      </w:r>
      <w:r>
        <w:rPr>
          <w:i/>
        </w:rPr>
        <w:t>ANGPTL4</w:t>
      </w:r>
      <w:r>
        <w:t>、</w:t>
      </w:r>
      <w:r>
        <w:rPr>
          <w:i/>
        </w:rPr>
        <w:t>HK2</w:t>
      </w:r>
      <w:r>
        <w:t>、</w:t>
      </w:r>
      <w:r>
        <w:rPr>
          <w:i/>
        </w:rPr>
        <w:t>SOX4</w:t>
      </w:r>
      <w:r>
        <w:t>、</w:t>
      </w:r>
      <w:r>
        <w:rPr>
          <w:i/>
        </w:rPr>
        <w:t>SERPINA1</w:t>
      </w:r>
      <w:r>
        <w:t>、</w:t>
      </w:r>
      <w:r>
        <w:rPr>
          <w:i/>
        </w:rPr>
        <w:t>HMOX1</w:t>
      </w:r>
      <w:r>
        <w:t>、</w:t>
      </w:r>
      <w:r>
        <w:rPr>
          <w:i/>
        </w:rPr>
        <w:t>NNMT</w:t>
      </w:r>
      <w:r>
        <w:t>；下调：</w:t>
      </w:r>
      <w:r>
        <w:rPr>
          <w:i/>
        </w:rPr>
        <w:t>PTPRB</w:t>
      </w:r>
      <w:r>
        <w:t>、</w:t>
      </w:r>
      <w:r>
        <w:rPr>
          <w:i/>
        </w:rPr>
        <w:t>ITGB4</w:t>
      </w:r>
      <w:r>
        <w:t>、</w:t>
      </w:r>
      <w:r>
        <w:rPr>
          <w:i/>
        </w:rPr>
        <w:t>APOD</w:t>
      </w:r>
      <w:r>
        <w:t>、</w:t>
      </w:r>
      <w:r>
        <w:rPr>
          <w:i/>
        </w:rPr>
        <w:t>ACKR1</w:t>
      </w:r>
      <w:r>
        <w:t>、</w:t>
      </w:r>
      <w:r>
        <w:rPr>
          <w:i/>
        </w:rPr>
        <w:t>NOSTRIN</w:t>
      </w:r>
      <w:r>
        <w:t>、</w:t>
      </w:r>
      <w:r>
        <w:rPr>
          <w:i/>
        </w:rPr>
        <w:t>TEK</w:t>
      </w:r>
      <w:r>
        <w:t>、</w:t>
      </w:r>
      <w:r>
        <w:rPr>
          <w:i/>
        </w:rPr>
        <w:t>VWF</w:t>
      </w:r>
      <w:r>
        <w:t>、</w:t>
      </w:r>
      <w:r>
        <w:rPr>
          <w:i/>
        </w:rPr>
        <w:t>PODXL</w:t>
      </w:r>
      <w:r>
        <w:t>、</w:t>
      </w:r>
      <w:r>
        <w:rPr>
          <w:i/>
        </w:rPr>
        <w:t>PI16</w:t>
      </w:r>
      <w:r>
        <w:t>、</w:t>
      </w:r>
      <w:r>
        <w:rPr>
          <w:i/>
        </w:rPr>
        <w:t>DCN</w:t>
      </w:r>
      <w:r>
        <w:t>、</w:t>
      </w:r>
      <w:r>
        <w:rPr>
          <w:i/>
        </w:rPr>
        <w:t>CXCL14</w:t>
      </w:r>
      <w:r>
        <w:t>、</w:t>
      </w:r>
      <w:r>
        <w:rPr>
          <w:i/>
        </w:rPr>
        <w:t>MYOCD</w:t>
      </w:r>
      <w:r>
        <w:t>）。ATAA 共识基因以免疫转录本为主（上调：</w:t>
      </w:r>
      <w:r>
        <w:rPr>
          <w:i/>
        </w:rPr>
        <w:t>LGALS3BP</w:t>
      </w:r>
      <w:r>
        <w:t>、</w:t>
      </w:r>
      <w:r>
        <w:rPr>
          <w:i/>
        </w:rPr>
        <w:t>HLA-DPA1</w:t>
      </w:r>
      <w:r>
        <w:t>、</w:t>
      </w:r>
      <w:r>
        <w:rPr>
          <w:i/>
        </w:rPr>
        <w:t>SAMD9L</w:t>
      </w:r>
      <w:r>
        <w:t>、</w:t>
      </w:r>
      <w:r>
        <w:rPr>
          <w:i/>
        </w:rPr>
        <w:t>CD83</w:t>
      </w:r>
      <w:r>
        <w:t>、</w:t>
      </w:r>
      <w:r>
        <w:rPr>
          <w:i/>
        </w:rPr>
        <w:t>OAS2/3</w:t>
      </w:r>
      <w:r>
        <w:t>、</w:t>
      </w:r>
      <w:r>
        <w:rPr>
          <w:i/>
        </w:rPr>
        <w:t>HLA-DRA</w:t>
      </w:r>
      <w:r>
        <w:t>、</w:t>
      </w:r>
      <w:r>
        <w:rPr>
          <w:i/>
        </w:rPr>
        <w:t>HLA-DPB1</w:t>
      </w:r>
      <w:r>
        <w:t>、</w:t>
      </w:r>
      <w:r>
        <w:rPr>
          <w:i/>
        </w:rPr>
        <w:t>CD74</w:t>
      </w:r>
      <w:r>
        <w:t>、</w:t>
      </w:r>
      <w:r>
        <w:rPr>
          <w:i/>
        </w:rPr>
        <w:t>CXCR4</w:t>
      </w:r>
      <w:r>
        <w:t>、</w:t>
      </w:r>
      <w:r>
        <w:rPr>
          <w:i/>
        </w:rPr>
        <w:t>VCAM1</w:t>
      </w:r>
      <w:r>
        <w:t>、</w:t>
      </w:r>
      <w:r>
        <w:rPr>
          <w:i/>
        </w:rPr>
        <w:t>IL1B</w:t>
      </w:r>
      <w:r>
        <w:t>、</w:t>
      </w:r>
      <w:r>
        <w:rPr>
          <w:i/>
        </w:rPr>
        <w:t>IL32</w:t>
      </w:r>
      <w:r>
        <w:t>；下调：</w:t>
      </w:r>
      <w:r>
        <w:rPr>
          <w:i/>
        </w:rPr>
        <w:t>TIMP4</w:t>
      </w:r>
      <w:r>
        <w:t>、</w:t>
      </w:r>
      <w:r>
        <w:rPr>
          <w:i/>
        </w:rPr>
        <w:t>CASQ1</w:t>
      </w:r>
      <w:r>
        <w:t>、</w:t>
      </w:r>
      <w:r>
        <w:rPr>
          <w:i/>
        </w:rPr>
        <w:t>BMAL1</w:t>
      </w:r>
      <w:r>
        <w:t>、</w:t>
      </w:r>
      <w:r>
        <w:rPr>
          <w:i/>
        </w:rPr>
        <w:t>ADRA2C</w:t>
      </w:r>
      <w:r>
        <w:t>、</w:t>
      </w:r>
      <w:r>
        <w:rPr>
          <w:i/>
        </w:rPr>
        <w:t>HIF3A</w:t>
      </w:r>
      <w:r>
        <w:t>、</w:t>
      </w:r>
      <w:r>
        <w:rPr>
          <w:i/>
        </w:rPr>
        <w:t>ATP1A2</w:t>
      </w:r>
      <w:r>
        <w:t>、</w:t>
      </w:r>
      <w:r>
        <w:rPr>
          <w:i/>
        </w:rPr>
        <w:t>NPAS2</w:t>
      </w:r>
      <w:r>
        <w:t>）。</w:t>
      </w:r>
    </w:p>
    <w:p>
      <w:pPr>
        <w:pStyle w:val="Heading2"/>
      </w:pPr>
      <w:r>
        <w:t>基因层面比较：两病共享甚少</w:t>
      </w:r>
    </w:p>
    <w:p>
      <w:r>
        <w:t>两病中均有定量的 11,235 个基因的 meta 分析 log2 倍数变化仅弱相关（Spearman ρ=0.11；在 DEG 并集内 ρ=0.18；图 2a）。在两病均有数据的 474 个 ATAA 与 2,090 个 TAAD 共识 DEG 中，137 个重叠（期望 88；超几何 P = 1.7×10⁻⁸；Jaccard 指数 0.056）：107 个方向一致，30 个方向相反。应用疾病间差异检验后，1,780 个基因归为 TAAD 特异（737 个 FDR_diff&lt;0.05），230 个为 ATAA 特异（44 个 FDR_diff&lt;0.05），173 个在 TAAD 中更强，107 个在 ATAA 中更强，107 个共享一致，30 个方向相反（图 2c；附加文件 6）。</w:t>
      </w:r>
    </w:p>
    <w:p>
      <w:r>
        <w:t xml:space="preserve">共享一致核心包括上调的 </w:t>
      </w:r>
      <w:r>
        <w:rPr>
          <w:i/>
        </w:rPr>
        <w:t>VEGFA</w:t>
      </w:r>
      <w:r>
        <w:t>、</w:t>
      </w:r>
      <w:r>
        <w:rPr>
          <w:i/>
        </w:rPr>
        <w:t>APLN</w:t>
      </w:r>
      <w:r>
        <w:t>、</w:t>
      </w:r>
      <w:r>
        <w:rPr>
          <w:i/>
        </w:rPr>
        <w:t>TNFRSF1A</w:t>
      </w:r>
      <w:r>
        <w:t>、</w:t>
      </w:r>
      <w:r>
        <w:rPr>
          <w:i/>
        </w:rPr>
        <w:t>ANGPTL2</w:t>
      </w:r>
      <w:r>
        <w:t>、</w:t>
      </w:r>
      <w:r>
        <w:rPr>
          <w:i/>
        </w:rPr>
        <w:t>TFPI</w:t>
      </w:r>
      <w:r>
        <w:t>、</w:t>
      </w:r>
      <w:r>
        <w:rPr>
          <w:i/>
        </w:rPr>
        <w:t>HSPA5</w:t>
      </w:r>
      <w:r>
        <w:t>、</w:t>
      </w:r>
      <w:r>
        <w:rPr>
          <w:i/>
        </w:rPr>
        <w:t>HSPA8</w:t>
      </w:r>
      <w:r>
        <w:t>、</w:t>
      </w:r>
      <w:r>
        <w:rPr>
          <w:i/>
        </w:rPr>
        <w:t>RUNX1</w:t>
      </w:r>
      <w:r>
        <w:t>、</w:t>
      </w:r>
      <w:r>
        <w:rPr>
          <w:i/>
        </w:rPr>
        <w:t>SERPINH1</w:t>
      </w:r>
      <w:r>
        <w:t>、</w:t>
      </w:r>
      <w:r>
        <w:rPr>
          <w:i/>
        </w:rPr>
        <w:t>P4HA1</w:t>
      </w:r>
      <w:r>
        <w:t>、</w:t>
      </w:r>
      <w:r>
        <w:rPr>
          <w:i/>
        </w:rPr>
        <w:t>PLOD1</w:t>
      </w:r>
      <w:r>
        <w:t>、</w:t>
      </w:r>
      <w:r>
        <w:rPr>
          <w:i/>
        </w:rPr>
        <w:t>LOXL3</w:t>
      </w:r>
      <w:r>
        <w:t xml:space="preserve"> 和 </w:t>
      </w:r>
      <w:r>
        <w:rPr>
          <w:i/>
        </w:rPr>
        <w:t>VCAN</w:t>
      </w:r>
      <w:r>
        <w:t>（血管生成、未折叠蛋白反应和胶原修饰基因）以及下调的 SMC 钙处理与收缩支持基因（</w:t>
      </w:r>
      <w:r>
        <w:rPr>
          <w:i/>
        </w:rPr>
        <w:t>RYR2</w:t>
      </w:r>
      <w:r>
        <w:t>、</w:t>
      </w:r>
      <w:r>
        <w:rPr>
          <w:i/>
        </w:rPr>
        <w:t>CASQ1</w:t>
      </w:r>
      <w:r>
        <w:t>、</w:t>
      </w:r>
      <w:r>
        <w:rPr>
          <w:i/>
        </w:rPr>
        <w:t>DES</w:t>
      </w:r>
      <w:r>
        <w:t>、</w:t>
      </w:r>
      <w:r>
        <w:rPr>
          <w:i/>
        </w:rPr>
        <w:t>ACTN2</w:t>
      </w:r>
      <w:r>
        <w:t>、</w:t>
      </w:r>
      <w:r>
        <w:rPr>
          <w:i/>
        </w:rPr>
        <w:t>FILIP1</w:t>
      </w:r>
      <w:r>
        <w:t>、</w:t>
      </w:r>
      <w:r>
        <w:rPr>
          <w:i/>
        </w:rPr>
        <w:t>TRPC1</w:t>
      </w:r>
      <w:r>
        <w:t>、</w:t>
      </w:r>
      <w:r>
        <w:rPr>
          <w:i/>
        </w:rPr>
        <w:t>ATP8A1</w:t>
      </w:r>
      <w:r>
        <w:t>、</w:t>
      </w:r>
      <w:r>
        <w:rPr>
          <w:i/>
        </w:rPr>
        <w:t>SPARCL1</w:t>
      </w:r>
      <w:r>
        <w:t xml:space="preserve">）。因此两病均显示 SMC 功能性去分化和基质合成激活的证据，尽管 SMC 收缩机器本身的改变不同（见下）。方向相反的基因包括 </w:t>
      </w:r>
      <w:r>
        <w:rPr>
          <w:i/>
        </w:rPr>
        <w:t>TNC</w:t>
      </w:r>
      <w:r>
        <w:t>（ATAA 下调、TAAD 上调）、</w:t>
      </w:r>
      <w:r>
        <w:rPr>
          <w:i/>
        </w:rPr>
        <w:t>C3</w:t>
      </w:r>
      <w:r>
        <w:t>（ATAA 上调、TAAD 强烈下调）、</w:t>
      </w:r>
      <w:r>
        <w:rPr>
          <w:i/>
        </w:rPr>
        <w:t>HMGA1</w:t>
      </w:r>
      <w:r>
        <w:t>、</w:t>
      </w:r>
      <w:r>
        <w:rPr>
          <w:i/>
        </w:rPr>
        <w:t>F3</w:t>
      </w:r>
      <w:r>
        <w:t>、</w:t>
      </w:r>
      <w:r>
        <w:rPr>
          <w:i/>
        </w:rPr>
        <w:t>MEDAG</w:t>
      </w:r>
      <w:r>
        <w:t>、</w:t>
      </w:r>
      <w:r>
        <w:rPr>
          <w:i/>
        </w:rPr>
        <w:t>SPOCK1</w:t>
      </w:r>
      <w:r>
        <w:t xml:space="preserve"> 及生物钟基因 </w:t>
      </w:r>
      <w:r>
        <w:rPr>
          <w:i/>
        </w:rPr>
        <w:t>PER3</w:t>
      </w:r>
      <w:r>
        <w:t>。</w:t>
      </w:r>
    </w:p>
    <w:p>
      <w:r>
        <w:t>经典主动脉病基因清楚地体现了这种分离（附加文件 6）。SMC 收缩程序仅在 TAAD 中丢失（</w:t>
      </w:r>
      <w:r>
        <w:rPr>
          <w:i/>
        </w:rPr>
        <w:t>MYOCD</w:t>
      </w:r>
      <w:r>
        <w:t xml:space="preserve"> log2FC −1.60，FDR 1×10⁻²⁰；</w:t>
      </w:r>
      <w:r>
        <w:rPr>
          <w:i/>
        </w:rPr>
        <w:t>ACTA2</w:t>
      </w:r>
      <w:r>
        <w:t xml:space="preserve"> −1.17；</w:t>
      </w:r>
      <w:r>
        <w:rPr>
          <w:i/>
        </w:rPr>
        <w:t>CNN1</w:t>
      </w:r>
      <w:r>
        <w:t xml:space="preserve"> −1.62；</w:t>
      </w:r>
      <w:r>
        <w:rPr>
          <w:i/>
        </w:rPr>
        <w:t>LMOD1</w:t>
      </w:r>
      <w:r>
        <w:t xml:space="preserve"> −0.86；</w:t>
      </w:r>
      <w:r>
        <w:rPr>
          <w:i/>
        </w:rPr>
        <w:t>MYH11</w:t>
      </w:r>
      <w:r>
        <w:t xml:space="preserve"> −0.65），在 ATAA 中无变化（</w:t>
      </w:r>
      <w:r>
        <w:rPr>
          <w:i/>
        </w:rPr>
        <w:t>MYOCD</w:t>
      </w:r>
      <w:r>
        <w:t xml:space="preserve"> +0.11；</w:t>
      </w:r>
      <w:r>
        <w:rPr>
          <w:i/>
        </w:rPr>
        <w:t>ACTA2</w:t>
      </w:r>
      <w:r>
        <w:t xml:space="preserve"> +0.11）。内皮（</w:t>
      </w:r>
      <w:r>
        <w:rPr>
          <w:i/>
        </w:rPr>
        <w:t>VWF</w:t>
      </w:r>
      <w:r>
        <w:t xml:space="preserve"> −3.17、</w:t>
      </w:r>
      <w:r>
        <w:rPr>
          <w:i/>
        </w:rPr>
        <w:t>PECAM1</w:t>
      </w:r>
      <w:r>
        <w:t xml:space="preserve"> −1.41、</w:t>
      </w:r>
      <w:r>
        <w:rPr>
          <w:i/>
        </w:rPr>
        <w:t>PTPRB</w:t>
      </w:r>
      <w:r>
        <w:t xml:space="preserve"> −2.65）与外膜成纤维细胞（</w:t>
      </w:r>
      <w:r>
        <w:rPr>
          <w:i/>
        </w:rPr>
        <w:t>PI16</w:t>
      </w:r>
      <w:r>
        <w:t>、</w:t>
      </w:r>
      <w:r>
        <w:rPr>
          <w:i/>
        </w:rPr>
        <w:t>DCN</w:t>
      </w:r>
      <w:r>
        <w:t>、</w:t>
      </w:r>
      <w:r>
        <w:rPr>
          <w:i/>
        </w:rPr>
        <w:t>APOD</w:t>
      </w:r>
      <w:r>
        <w:t>、</w:t>
      </w:r>
      <w:r>
        <w:rPr>
          <w:i/>
        </w:rPr>
        <w:t>CXCL14</w:t>
      </w:r>
      <w:r>
        <w:t>）转录本同样仅在 TAAD 中丢失。固有炎症介质在 TAAD 中强烈且特异地上调（</w:t>
      </w:r>
      <w:r>
        <w:rPr>
          <w:i/>
        </w:rPr>
        <w:t>IL6</w:t>
      </w:r>
      <w:r>
        <w:t xml:space="preserve"> +3.20、</w:t>
      </w:r>
      <w:r>
        <w:rPr>
          <w:i/>
        </w:rPr>
        <w:t>CXCL8</w:t>
      </w:r>
      <w:r>
        <w:t xml:space="preserve"> +2.52、</w:t>
      </w:r>
      <w:r>
        <w:rPr>
          <w:i/>
        </w:rPr>
        <w:t>CCL2</w:t>
      </w:r>
      <w:r>
        <w:t xml:space="preserve"> +2.15、</w:t>
      </w:r>
      <w:r>
        <w:rPr>
          <w:i/>
        </w:rPr>
        <w:t>S100A9</w:t>
      </w:r>
      <w:r>
        <w:t xml:space="preserve"> +1.57、</w:t>
      </w:r>
      <w:r>
        <w:rPr>
          <w:i/>
        </w:rPr>
        <w:t>SPP1</w:t>
      </w:r>
      <w:r>
        <w:t xml:space="preserve"> +2.47、</w:t>
      </w:r>
      <w:r>
        <w:rPr>
          <w:i/>
        </w:rPr>
        <w:t>SERPINE1</w:t>
      </w:r>
      <w:r>
        <w:t xml:space="preserve"> +1.73、</w:t>
      </w:r>
      <w:r>
        <w:rPr>
          <w:i/>
        </w:rPr>
        <w:t>TIMP1</w:t>
      </w:r>
      <w:r>
        <w:t xml:space="preserve"> +1.18、</w:t>
      </w:r>
      <w:r>
        <w:rPr>
          <w:i/>
        </w:rPr>
        <w:t>MMP14</w:t>
      </w:r>
      <w:r>
        <w:t xml:space="preserve"> +0.99），伴缺氧和应激基因（</w:t>
      </w:r>
      <w:r>
        <w:rPr>
          <w:i/>
        </w:rPr>
        <w:t>HIF1A</w:t>
      </w:r>
      <w:r>
        <w:t xml:space="preserve"> +1.03、</w:t>
      </w:r>
      <w:r>
        <w:rPr>
          <w:i/>
        </w:rPr>
        <w:t>HMOX1</w:t>
      </w:r>
      <w:r>
        <w:t xml:space="preserve"> +2.44、</w:t>
      </w:r>
      <w:r>
        <w:rPr>
          <w:i/>
        </w:rPr>
        <w:t>MT2A</w:t>
      </w:r>
      <w:r>
        <w:t xml:space="preserve"> +2.42、</w:t>
      </w:r>
      <w:r>
        <w:rPr>
          <w:i/>
        </w:rPr>
        <w:t>CDKN1A</w:t>
      </w:r>
      <w:r>
        <w:t xml:space="preserve"> +1.33）及转录因子 </w:t>
      </w:r>
      <w:r>
        <w:rPr>
          <w:i/>
        </w:rPr>
        <w:t>MYC</w:t>
      </w:r>
      <w:r>
        <w:t>（+1.77）、</w:t>
      </w:r>
      <w:r>
        <w:rPr>
          <w:i/>
        </w:rPr>
        <w:t>STAT3</w:t>
      </w:r>
      <w:r>
        <w:t xml:space="preserve">（+0.66）和 </w:t>
      </w:r>
      <w:r>
        <w:rPr>
          <w:i/>
        </w:rPr>
        <w:t>SOX4</w:t>
      </w:r>
      <w:r>
        <w:t>（+1.71）。相反，MHC II 类分子（</w:t>
      </w:r>
      <w:r>
        <w:rPr>
          <w:i/>
        </w:rPr>
        <w:t>CD74</w:t>
      </w:r>
      <w:r>
        <w:t xml:space="preserve"> +0.76、</w:t>
      </w:r>
      <w:r>
        <w:rPr>
          <w:i/>
        </w:rPr>
        <w:t>HLA-DRA</w:t>
      </w:r>
      <w:r>
        <w:t xml:space="preserve"> +0.87、</w:t>
      </w:r>
      <w:r>
        <w:rPr>
          <w:i/>
        </w:rPr>
        <w:t>HLA-DPA1</w:t>
      </w:r>
      <w:r>
        <w:t>、</w:t>
      </w:r>
      <w:r>
        <w:rPr>
          <w:i/>
        </w:rPr>
        <w:t>HLA-DPB1</w:t>
      </w:r>
      <w:r>
        <w:t>）与干扰素刺激基因（</w:t>
      </w:r>
      <w:r>
        <w:rPr>
          <w:i/>
        </w:rPr>
        <w:t>CXCL10</w:t>
      </w:r>
      <w:r>
        <w:t xml:space="preserve"> +1.59、</w:t>
      </w:r>
      <w:r>
        <w:rPr>
          <w:i/>
        </w:rPr>
        <w:t>OAS1</w:t>
      </w:r>
      <w:r>
        <w:t xml:space="preserve"> +0.61、</w:t>
      </w:r>
      <w:r>
        <w:rPr>
          <w:i/>
        </w:rPr>
        <w:t>MX1</w:t>
      </w:r>
      <w:r>
        <w:t xml:space="preserve"> +0.69、</w:t>
      </w:r>
      <w:r>
        <w:rPr>
          <w:i/>
        </w:rPr>
        <w:t>IFIT1</w:t>
      </w:r>
      <w:r>
        <w:t xml:space="preserve"> +0.62）仅在 ATAA 中上调，在 TAAD 中无变化或下调（</w:t>
      </w:r>
      <w:r>
        <w:rPr>
          <w:i/>
        </w:rPr>
        <w:t>CXCL10</w:t>
      </w:r>
      <w:r>
        <w:t xml:space="preserve"> −0.50；</w:t>
      </w:r>
      <w:r>
        <w:rPr>
          <w:i/>
        </w:rPr>
        <w:t>IFIT1</w:t>
      </w:r>
      <w:r>
        <w:t xml:space="preserve"> −0.51）。TGF-β 通路基因（</w:t>
      </w:r>
      <w:r>
        <w:rPr>
          <w:i/>
        </w:rPr>
        <w:t>TGFB1</w:t>
      </w:r>
      <w:r>
        <w:t>、</w:t>
      </w:r>
      <w:r>
        <w:rPr>
          <w:i/>
        </w:rPr>
        <w:t>SMAD3</w:t>
      </w:r>
      <w:r>
        <w:t>、</w:t>
      </w:r>
      <w:r>
        <w:rPr>
          <w:i/>
        </w:rPr>
        <w:t>FBN1</w:t>
      </w:r>
      <w:r>
        <w:t xml:space="preserve">）在两病中均轻度升高但 TAAD 更强，而 </w:t>
      </w:r>
      <w:r>
        <w:rPr>
          <w:i/>
        </w:rPr>
        <w:t>MMP2</w:t>
      </w:r>
      <w:r>
        <w:t>/</w:t>
      </w:r>
      <w:r>
        <w:rPr>
          <w:i/>
        </w:rPr>
        <w:t>MMP9</w:t>
      </w:r>
      <w:r>
        <w:t xml:space="preserve"> 在两病中均无稳定改变。</w:t>
      </w:r>
    </w:p>
    <w:p>
      <w:pPr>
        <w:pStyle w:val="Heading2"/>
      </w:pPr>
      <w:r>
        <w:t>通路层面比较</w:t>
      </w:r>
    </w:p>
    <w:p>
      <w:r>
        <w:t>对疾病 meta 排序的 GSEA 将上述差异纳入一个连贯的框架（图 3；附加文件 7）。15 个 Hallmark 基因集为共享，包括 TNF-α 经 NF-κB 信号（ATAA NES 2.35，TAAD 2.63）、炎症反应、IL-6/JAK/STAT3、缺氧、上皮-间质转化、TGF-β 信号、补体、血管生成、凋亡、同种异体排斥、干扰素-γ 反应、未折叠蛋白反应、糖酵解和 G2M 检查点。12 个 Hallmark 集为 TAAD 特异：MYC 靶基因 V1/V2（TAAD NES 3.02 和 2.75，ATAA 为 0.66 和 0.77）、mTORC1 信号、E2F 靶基因、DNA 修复、活性氧通路、p53 通路、PI3K/AKT/mTOR、紫外反应-上调和外源物代谢正向富集，而肌生成（NES −2.31）和 KRAS 信号-下调负向富集。在 KEGG 与 Reactome 中，TAAD 特异的负向富集以血管平滑肌收缩（NES −2.54）、平滑肌收缩、钙信号和心肌病基因集为首，正向富集为核糖体、剪接体、蛋白酶体、DNA 复制、嘧啶/嘌呤代谢、糖酵解、磷酸戊糖途径、谷胱甘肽代谢、翻译、rRNA 加工和 NFE2L2 介导事件——呈现急性细胞应激伴生物合成、增殖和抗氧化机器激活的整体图景。</w:t>
      </w:r>
    </w:p>
    <w:p>
      <w:r>
        <w:t>ATAA 特异或 ATAA 独有的富集集中于干扰素-α 反应（ATAA NES 2.74，TAAD 0.97；FDR_diff&lt;0.001）、凝血、有丝分裂纺锤体、Notch 与 Hedgehog 信号，以及 KEGG 中由抗原呈递驱动的同种异体排斥、移植物抗宿主病、自身免疫性甲状腺病和 1 型糖尿病基因集（ATAA NES 均 ≥2.3，TAAD ≤ −1.1）、白细胞跨内皮迁移及细胞粘附分子（ATAA NES +2.33，TAAD −1.84）。在 ATAA 而非 TAAD 中富集的 Reactome 基因集包括整合素细胞表面相互作用、胶原链三聚化、胶原形成、ECM 蛋白聚糖、干扰素 α/β 信号，以及淋巴样与非淋巴样细胞间的免疫调节相互作用。两个 Hallmark 集方向相反：紫外反应-下调和顶端连接在 ATAA 中正向、在 TAAD 中负向富集。</w:t>
      </w:r>
    </w:p>
    <w:p>
      <w:r>
        <w:t>基因类别的富集分析给出相同图景（附加文件 8）：ATAA 特异上调基因富集于干扰素-γ/α 反应（校正 P = 4×10⁻⁸）、抗病毒防御与 RFX5 调控子（MHC II 类转录）；TAAD 特异上调基因富集于 MYC 靶基因（校正 P = 2×10⁻²²）、mTORC1、TNF-α/NF-κB、核糖体生物合成、缺氧与炎症反应；TAAD 特异下调基因富集于血管平滑肌收缩（校正 P = 7×10⁻⁸）、粘着斑、肌生成和 cGMP-PKG 信号。ATAA 中更强的基因富集于 NF-κB（</w:t>
      </w:r>
      <w:r>
        <w:rPr>
          <w:i/>
        </w:rPr>
        <w:t>NFKB1</w:t>
      </w:r>
      <w:r>
        <w:t>/</w:t>
      </w:r>
      <w:r>
        <w:rPr>
          <w:i/>
        </w:rPr>
        <w:t>RELA</w:t>
      </w:r>
      <w:r>
        <w:t>）靶基因，TAAD 中更强的基因富集于 NF-κB 和 SP1 靶基因及 EMT。</w:t>
      </w:r>
    </w:p>
    <w:p>
      <w:pPr>
        <w:pStyle w:val="Heading2"/>
      </w:pPr>
      <w:r>
        <w:t>推断的细胞组成在两病间分化</w:t>
      </w:r>
    </w:p>
    <w:p>
      <w:r>
        <w:t>两个 scRNA-seq 数据集整合后得到包含 73,755 个细胞、12 个群体的图谱，包括收缩型与表型转换型 SMC、纤维肌细胞群（</w:t>
      </w:r>
      <w:r>
        <w:rPr>
          <w:i/>
        </w:rPr>
        <w:t>LTBP2</w:t>
      </w:r>
      <w:r>
        <w:t>、</w:t>
      </w:r>
      <w:r>
        <w:rPr>
          <w:i/>
        </w:rPr>
        <w:t>EFEMP1</w:t>
      </w:r>
      <w:r>
        <w:t>、</w:t>
      </w:r>
      <w:r>
        <w:rPr>
          <w:i/>
        </w:rPr>
        <w:t>COL1A1</w:t>
      </w:r>
      <w:r>
        <w:t>、</w:t>
      </w:r>
      <w:r>
        <w:rPr>
          <w:i/>
        </w:rPr>
        <w:t>DKK3</w:t>
      </w:r>
      <w:r>
        <w:t>）、成纤维细胞、内皮细胞、巨噬细胞、S100A8/A9⁺ 炎性髓系细胞、T、NK、B、浆细胞和肥大细胞（图 7a；附加文件 4）。以该图谱衍生的标志基因集推断每个 bulk 队列的细胞组成（图 4）。</w:t>
      </w:r>
    </w:p>
    <w:p>
      <w:r>
        <w:t>在 TAAD 中，收缩型 SMC（合并 Hedges' g = −1.48，P = 2×10⁻⁸）、表型转换型 SMC（g = −1.93）、纤维肌细胞（g = −0.84）、成纤维细胞（g = −1.55）和内皮细胞（g = −2.25，P = 4×10⁻⁴）评分均降低，而炎性髓系评分升高（g = +1.31，P = 0.005），巨噬细胞与淋巴细胞评分无变化。相反，ATAA 中无任何壁细胞、成纤维细胞或内皮细胞评分降低（收缩型 SMC g = −0.15；纤维肌细胞 g = +0.58），而 T 细胞（g = +0.78，P = 1×10⁻⁴）、NK（g = +0.76，P = 2×10⁻⁴）、浆细胞（g = +0.49，P = 0.015）和 B 细胞（g = +0.68）评分升高。SMC、纤维肌细胞、成纤维细胞、内皮细胞和 T 细胞评分的疾病间差异具有统计学意义（P_diff ≤0.027）。单细胞比例方向一致：GSE155468 中 ATAA 的 T 细胞占捕获细胞的比例由 7.9% 升至 46.4%（Mann–Whitney P = 0.024），GSE213740 中 TAAD 的 S100A8/A9⁺ 髓系比例由 4.2% 升至 18.6%（图 7b、c）；但解离依赖的捕获偏倚（动脉瘤数据集中 SMC 明显欠代表）使 scRNA-seq 数据集之间无法定量比较壁细胞比例。</w:t>
      </w:r>
    </w:p>
    <w:p>
      <w:pPr>
        <w:pStyle w:val="Heading2"/>
      </w:pPr>
      <w:r>
        <w:t>基因类别的细胞来源与单细胞复现</w:t>
      </w:r>
    </w:p>
    <w:p>
      <w:r>
        <w:t>将基因类别映射到对照主动脉的细胞类型显示：TAAD 特异下调基因主要由收缩型 SMC（占 35%）和内皮细胞（23%）表达，而 TAAD 特异上调基因最常由炎性髓系细胞（19%）、内皮细胞（14%）和成纤维细胞（12%）表达；ATAA 特异上调基因最常由巨噬细胞（19%）、成纤维细胞（16%）和纤维肌细胞（13%）表达；共享下调基因绝大多数为收缩型 SMC 转录本（61%；图 8c）。因此，TAAD 签名的一部分可由细胞组成变化解释，但相当一部分反映了驻留细胞内的转录重编程。</w:t>
      </w:r>
    </w:p>
    <w:p>
      <w:r>
        <w:t>细胞类型分辨的伪 bulk 比较证实了这一点，并表明两病间的分化在单个细胞类型内亦成立（图 8a、b；附加文件 4）。在 TAAD 数据集中，TAAD 特异基因在收缩型 SMC（方向一致率 69%）、表型转换型 SMC（80%）、纤维肌细胞（74%）、成纤维细胞（76%）和内皮细胞（76%；Wilcoxon P 均 &lt;10⁻¹⁰）内均按预期方向改变，而在 ATAA 数据集中相同基因在相应细胞类型内仅呈边缘一致（51–60%；带符号 log2FC 中位数 ≤0.14）。相反，ATAA 特异基因在动脉瘤壁细胞与基质细胞内得到中等程度复现（收缩型 SMC 64%、表型转换型 SMC 60%、纤维肌细胞 56%、成纤维细胞 56%；P ≤0.013），但在夹层细胞内被主动逆转（收缩型 SMC 24%、成纤维细胞 27%、内皮细胞 32%、髓系细胞 32–34%；带符号 log2FC 中位数 −0.25 至 −0.33；P 均 &lt;10⁻⁵）。共享一致基因在两个数据集的壁细胞内均得到复现（ATAA 中收缩型 SMC 91%、纤维肌细胞 88%；TAAD 中表型转换型 SMC 81%、内皮细胞 77%）。在单基因层面，金属硫蛋白/应激簇（</w:t>
      </w:r>
      <w:r>
        <w:rPr>
          <w:i/>
        </w:rPr>
        <w:t>MT1X</w:t>
      </w:r>
      <w:r>
        <w:t>、</w:t>
      </w:r>
      <w:r>
        <w:rPr>
          <w:i/>
        </w:rPr>
        <w:t>MT2A</w:t>
      </w:r>
      <w:r>
        <w:t>、</w:t>
      </w:r>
      <w:r>
        <w:rPr>
          <w:i/>
        </w:rPr>
        <w:t>GLRX</w:t>
      </w:r>
      <w:r>
        <w:t>、</w:t>
      </w:r>
      <w:r>
        <w:rPr>
          <w:i/>
        </w:rPr>
        <w:t>HK2</w:t>
      </w:r>
      <w:r>
        <w:t>、</w:t>
      </w:r>
      <w:r>
        <w:rPr>
          <w:i/>
        </w:rPr>
        <w:t>SERPINA1</w:t>
      </w:r>
      <w:r>
        <w:t>、</w:t>
      </w:r>
      <w:r>
        <w:rPr>
          <w:i/>
        </w:rPr>
        <w:t>NNMT</w:t>
      </w:r>
      <w:r>
        <w:t>、</w:t>
      </w:r>
      <w:r>
        <w:rPr>
          <w:i/>
        </w:rPr>
        <w:t>SLC38A5</w:t>
      </w:r>
      <w:r>
        <w:t>）仅在夹层的 SMC、纤维肌细胞和成纤维细胞群中被诱导，而 MHC II 类基因（</w:t>
      </w:r>
      <w:r>
        <w:rPr>
          <w:i/>
        </w:rPr>
        <w:t>HLA-DRA</w:t>
      </w:r>
      <w:r>
        <w:t>、</w:t>
      </w:r>
      <w:r>
        <w:rPr>
          <w:i/>
        </w:rPr>
        <w:t>HLA-DPA1</w:t>
      </w:r>
      <w:r>
        <w:t>、</w:t>
      </w:r>
      <w:r>
        <w:rPr>
          <w:i/>
        </w:rPr>
        <w:t>HLA-DPB1</w:t>
      </w:r>
      <w:r>
        <w:t>、</w:t>
      </w:r>
      <w:r>
        <w:rPr>
          <w:i/>
        </w:rPr>
        <w:t>CD74</w:t>
      </w:r>
      <w:r>
        <w:t>）、</w:t>
      </w:r>
      <w:r>
        <w:rPr>
          <w:i/>
        </w:rPr>
        <w:t>OAS2</w:t>
      </w:r>
      <w:r>
        <w:t xml:space="preserve"> 和 </w:t>
      </w:r>
      <w:r>
        <w:rPr>
          <w:i/>
        </w:rPr>
        <w:t>SFRP4</w:t>
      </w:r>
      <w:r>
        <w:t xml:space="preserve"> 在动脉瘤基质细胞中被诱导、在夹层细胞中降低（图 8a、b）。因此，疾病特异程序代表主动脉壁驻留细胞的细胞内在重编程，而非仅是浸润细胞含量的差异。</w:t>
      </w:r>
    </w:p>
    <w:p>
      <w:pPr>
        <w:pStyle w:val="Heading2"/>
      </w:pPr>
      <w:r>
        <w:t>蛋白-蛋白相互作用枢纽</w:t>
      </w:r>
    </w:p>
    <w:p>
      <w:r>
        <w:t xml:space="preserve">TAAD 特异基因的 STRING 网络（818 个节点，2,983 条相互作用）以 </w:t>
      </w:r>
      <w:r>
        <w:rPr>
          <w:i/>
        </w:rPr>
        <w:t>AKT1</w:t>
      </w:r>
      <w:r>
        <w:t>（度 53）、</w:t>
      </w:r>
      <w:r>
        <w:rPr>
          <w:i/>
        </w:rPr>
        <w:t>STAT3</w:t>
      </w:r>
      <w:r>
        <w:t>（49）、</w:t>
      </w:r>
      <w:r>
        <w:rPr>
          <w:i/>
        </w:rPr>
        <w:t>MYC</w:t>
      </w:r>
      <w:r>
        <w:t>（49）、</w:t>
      </w:r>
      <w:r>
        <w:rPr>
          <w:i/>
        </w:rPr>
        <w:t>GAPDH</w:t>
      </w:r>
      <w:r>
        <w:t>、</w:t>
      </w:r>
      <w:r>
        <w:rPr>
          <w:i/>
        </w:rPr>
        <w:t>HIF1A</w:t>
      </w:r>
      <w:r>
        <w:t>、</w:t>
      </w:r>
      <w:r>
        <w:rPr>
          <w:i/>
        </w:rPr>
        <w:t>HSP90AB1</w:t>
      </w:r>
      <w:r>
        <w:t xml:space="preserve"> 及一个致密的核糖体生物合成因子模块（</w:t>
      </w:r>
      <w:r>
        <w:rPr>
          <w:i/>
        </w:rPr>
        <w:t>MRTO4</w:t>
      </w:r>
      <w:r>
        <w:t>、</w:t>
      </w:r>
      <w:r>
        <w:rPr>
          <w:i/>
        </w:rPr>
        <w:t>RPF2</w:t>
      </w:r>
      <w:r>
        <w:t>、</w:t>
      </w:r>
      <w:r>
        <w:rPr>
          <w:i/>
        </w:rPr>
        <w:t>NOP56</w:t>
      </w:r>
      <w:r>
        <w:t>、</w:t>
      </w:r>
      <w:r>
        <w:rPr>
          <w:i/>
        </w:rPr>
        <w:t>FBL</w:t>
      </w:r>
      <w:r>
        <w:t>、</w:t>
      </w:r>
      <w:r>
        <w:rPr>
          <w:i/>
        </w:rPr>
        <w:t>NAT10</w:t>
      </w:r>
      <w:r>
        <w:t>、</w:t>
      </w:r>
      <w:r>
        <w:rPr>
          <w:i/>
        </w:rPr>
        <w:t>DKC1</w:t>
      </w:r>
      <w:r>
        <w:t>、</w:t>
      </w:r>
      <w:r>
        <w:rPr>
          <w:i/>
        </w:rPr>
        <w:t>PES1</w:t>
      </w:r>
      <w:r>
        <w:t>）为中心，</w:t>
      </w:r>
      <w:r>
        <w:rPr>
          <w:i/>
        </w:rPr>
        <w:t>PKM</w:t>
      </w:r>
      <w:r>
        <w:t>、</w:t>
      </w:r>
      <w:r>
        <w:rPr>
          <w:i/>
        </w:rPr>
        <w:t>GAPDH</w:t>
      </w:r>
      <w:r>
        <w:t>、</w:t>
      </w:r>
      <w:r>
        <w:rPr>
          <w:i/>
        </w:rPr>
        <w:t>LAMB1</w:t>
      </w:r>
      <w:r>
        <w:t>、</w:t>
      </w:r>
      <w:r>
        <w:rPr>
          <w:i/>
        </w:rPr>
        <w:t>ITGA5</w:t>
      </w:r>
      <w:r>
        <w:t>、</w:t>
      </w:r>
      <w:r>
        <w:rPr>
          <w:i/>
        </w:rPr>
        <w:t>FURIN</w:t>
      </w:r>
      <w:r>
        <w:t>、</w:t>
      </w:r>
      <w:r>
        <w:rPr>
          <w:i/>
        </w:rPr>
        <w:t>ANPEP</w:t>
      </w:r>
      <w:r>
        <w:t xml:space="preserve"> 和 </w:t>
      </w:r>
      <w:r>
        <w:rPr>
          <w:i/>
        </w:rPr>
        <w:t>TLR2</w:t>
      </w:r>
      <w:r>
        <w:t xml:space="preserve"> 构成得分最高的团（图 6a）。ATAA 特异网络（69 个节点，116 条相互作用）是一个单一的干扰素模块（</w:t>
      </w:r>
      <w:r>
        <w:rPr>
          <w:i/>
        </w:rPr>
        <w:t>OAS1/2/3</w:t>
      </w:r>
      <w:r>
        <w:t>、</w:t>
      </w:r>
      <w:r>
        <w:rPr>
          <w:i/>
        </w:rPr>
        <w:t>IFIT1/2/3</w:t>
      </w:r>
      <w:r>
        <w:t>、</w:t>
      </w:r>
      <w:r>
        <w:rPr>
          <w:i/>
        </w:rPr>
        <w:t>MX1/2</w:t>
      </w:r>
      <w:r>
        <w:t>、</w:t>
      </w:r>
      <w:r>
        <w:rPr>
          <w:i/>
        </w:rPr>
        <w:t>IFI44L</w:t>
      </w:r>
      <w:r>
        <w:t>、</w:t>
      </w:r>
      <w:r>
        <w:rPr>
          <w:i/>
        </w:rPr>
        <w:t>IFI6</w:t>
      </w:r>
      <w:r>
        <w:t>、</w:t>
      </w:r>
      <w:r>
        <w:rPr>
          <w:i/>
        </w:rPr>
        <w:t>DHX58</w:t>
      </w:r>
      <w:r>
        <w:t>、</w:t>
      </w:r>
      <w:r>
        <w:rPr>
          <w:i/>
        </w:rPr>
        <w:t>TRIM22</w:t>
      </w:r>
      <w:r>
        <w:t>、</w:t>
      </w:r>
      <w:r>
        <w:rPr>
          <w:i/>
        </w:rPr>
        <w:t>SAMD9L</w:t>
      </w:r>
      <w:r>
        <w:t xml:space="preserve">），经 </w:t>
      </w:r>
      <w:r>
        <w:rPr>
          <w:i/>
        </w:rPr>
        <w:t>CXCL10</w:t>
      </w:r>
      <w:r>
        <w:t xml:space="preserve"> 连接到抗原呈递模块（</w:t>
      </w:r>
      <w:r>
        <w:rPr>
          <w:i/>
        </w:rPr>
        <w:t>CD74</w:t>
      </w:r>
      <w:r>
        <w:t>、</w:t>
      </w:r>
      <w:r>
        <w:rPr>
          <w:i/>
        </w:rPr>
        <w:t>HLA-DRA</w:t>
      </w:r>
      <w:r>
        <w:t>、</w:t>
      </w:r>
      <w:r>
        <w:rPr>
          <w:i/>
        </w:rPr>
        <w:t>HLA-DPA1</w:t>
      </w:r>
      <w:r>
        <w:t>、</w:t>
      </w:r>
      <w:r>
        <w:rPr>
          <w:i/>
        </w:rPr>
        <w:t>HLA-DPB1</w:t>
      </w:r>
      <w:r>
        <w:t xml:space="preserve">）及 </w:t>
      </w:r>
      <w:r>
        <w:rPr>
          <w:i/>
        </w:rPr>
        <w:t>COL1A2</w:t>
      </w:r>
      <w:r>
        <w:t>/</w:t>
      </w:r>
      <w:r>
        <w:rPr>
          <w:i/>
        </w:rPr>
        <w:t>ITGA4</w:t>
      </w:r>
      <w:r>
        <w:t>，并有一个小的生物钟节点（</w:t>
      </w:r>
      <w:r>
        <w:rPr>
          <w:i/>
        </w:rPr>
        <w:t>BMAL1</w:t>
      </w:r>
      <w:r>
        <w:t>、</w:t>
      </w:r>
      <w:r>
        <w:rPr>
          <w:i/>
        </w:rPr>
        <w:t>NPAS2</w:t>
      </w:r>
      <w:r>
        <w:t>、</w:t>
      </w:r>
      <w:r>
        <w:rPr>
          <w:i/>
        </w:rPr>
        <w:t>CRY2</w:t>
      </w:r>
      <w:r>
        <w:t>、</w:t>
      </w:r>
      <w:r>
        <w:rPr>
          <w:i/>
        </w:rPr>
        <w:t>BHLHE41</w:t>
      </w:r>
      <w:r>
        <w:t>；图 6b；附加文件 9）。</w:t>
      </w:r>
    </w:p>
    <w:p>
      <w:pPr>
        <w:pStyle w:val="Heading2"/>
      </w:pPr>
      <w:r>
        <w:t>在直接比较夹层与扩张的独立队列中的验证</w:t>
      </w:r>
    </w:p>
    <w:p>
      <w:r>
        <w:t>GSE318877 在同一平台上对 3 例夹层与 4 例扩张升主动脉的 70 个显微切割中膜穿刺样本进行了测序，允许进行不受 meta 分析中对照组织差异影响的直接比较。在通路层面，meta 差异排序（TAAD − ATAA）的 NES 与直接的夹层 vs 扩张比较的 NES 在 1,116 个基因集上相关（Spearman ρ=0.42，P = 5×10⁻⁴⁸；图 3b）。MYC 靶基因（NES 3.19）、氧化磷酸化、翻译、rRNA 加工、蛋白酶体、p53 稳定化、NFE2L2 事件、ROS 通路、mTORC1、DNA 修复和 E2F 靶基因在夹层中膜高于扩张中膜，而平滑肌收缩、钙信号和心肌病基因集更低，复现了 TAAD 特异程序。在基因层面，TAAD 特异基因有 60.4% 按预测方向改变，带符号效应中位数为正（Wilcoxon P = 1.2×10⁻²⁸），且 TAAD 特异签名评分在四个中膜显微区域中均为夹层穿刺样本高于扩张（中位数 0.06 vs −0.16；穿刺样本水平 Mann–Whitney P = 5×10⁻⁶；AUC 0.82；受试者水平 P = 0.11，n = 3 vs 4；图 5d）。ATAA 富集程序在该队列中未被复现为动脉瘤所限：ATAA 特异基因无一致方向（42% 一致），干扰素-α 反应在夹层中膜中反而更高（NES 1.94）。推断的细胞组成差异在中膜穿刺样本中亦未复现（ρ = −0.23），这与样本不含内膜和外膜相符。</w:t>
      </w:r>
    </w:p>
    <w:p>
      <w:pPr>
        <w:pStyle w:val="Heading2"/>
      </w:pPr>
      <w:r>
        <w:t>跨队列机器学习</w:t>
      </w:r>
    </w:p>
    <w:p>
      <w:r>
        <w:t xml:space="preserve">在对照参照谱上，TAAD 特异评分在每个 TAAD 队列中均升高（中位数 3.2–6.2），在每个 ATAA 队列中接近零（−0.6 至 0.3）；而 ATAA 特异评分在所有 ATAA 队列中为正（0.6–3.2），在 6 个 TAAD 队列中的 4 个为负（图 5a、b）。由于这些评分部分存在循环论证，另训练了 LOCO 弹性网分类器以区分夹层与动脉瘤样本，每次留出一个队列：汇总的跨队列 AUC 为 0.92（准确率 88.5%）。每个 TAAD 队列的分类准确率 ≥75%，GSE26155 与 GSE140947（ATAA）分别为 95% 和 100%，而异质的 ATAA 队列 GSE235161 与 GSE202267 分别为 77% 和 50%，反映其疾病信号较弱（附加文件 10）。23 基因共识面板以 </w:t>
      </w:r>
      <w:r>
        <w:rPr>
          <w:i/>
        </w:rPr>
        <w:t>TRAF3IP2</w:t>
      </w:r>
      <w:r>
        <w:t>、</w:t>
      </w:r>
      <w:r>
        <w:rPr>
          <w:i/>
        </w:rPr>
        <w:t>HMGA1</w:t>
      </w:r>
      <w:r>
        <w:t>、</w:t>
      </w:r>
      <w:r>
        <w:rPr>
          <w:i/>
        </w:rPr>
        <w:t>SOX4</w:t>
      </w:r>
      <w:r>
        <w:t>、</w:t>
      </w:r>
      <w:r>
        <w:rPr>
          <w:i/>
        </w:rPr>
        <w:t>SLC25A22</w:t>
      </w:r>
      <w:r>
        <w:t>、</w:t>
      </w:r>
      <w:r>
        <w:rPr>
          <w:i/>
        </w:rPr>
        <w:t>UTP4</w:t>
      </w:r>
      <w:r>
        <w:t>、</w:t>
      </w:r>
      <w:r>
        <w:rPr>
          <w:i/>
        </w:rPr>
        <w:t>AKR1C3</w:t>
      </w:r>
      <w:r>
        <w:t xml:space="preserve"> 和 </w:t>
      </w:r>
      <w:r>
        <w:rPr>
          <w:i/>
        </w:rPr>
        <w:t>SHMT2</w:t>
      </w:r>
      <w:r>
        <w:t xml:space="preserve">（倾向夹层）及 </w:t>
      </w:r>
      <w:r>
        <w:rPr>
          <w:i/>
        </w:rPr>
        <w:t>LGALS3BP</w:t>
      </w:r>
      <w:r>
        <w:t>、</w:t>
      </w:r>
      <w:r>
        <w:rPr>
          <w:i/>
        </w:rPr>
        <w:t>REEP1</w:t>
      </w:r>
      <w:r>
        <w:t>、</w:t>
      </w:r>
      <w:r>
        <w:rPr>
          <w:i/>
        </w:rPr>
        <w:t>NOSTRIN</w:t>
      </w:r>
      <w:r>
        <w:t>、</w:t>
      </w:r>
      <w:r>
        <w:rPr>
          <w:i/>
        </w:rPr>
        <w:t>TPM1</w:t>
      </w:r>
      <w:r>
        <w:t>、</w:t>
      </w:r>
      <w:r>
        <w:rPr>
          <w:i/>
        </w:rPr>
        <w:t>NHS</w:t>
      </w:r>
      <w:r>
        <w:t xml:space="preserve"> 和 </w:t>
      </w:r>
      <w:r>
        <w:rPr>
          <w:i/>
        </w:rPr>
        <w:t>SDHD</w:t>
      </w:r>
      <w:r>
        <w:t>（倾向动脉瘤）为首。应用于 scRNA-seq 数据集的样本水平伪 bulk 谱时，ATAA 特异评分可完全区分动脉瘤与夹层样本（AUC 1.00），而 TAAD 特异评分与分类器则不能（AUC 0.42 和 0.60），原因是解离的动脉瘤样本以免疫细胞为主，因而携带炎症性伪 bulk 谱。</w:t>
      </w:r>
    </w:p>
    <w:p>
      <w:pPr>
        <w:pStyle w:val="Heading1"/>
      </w:pPr>
      <w:r>
        <w:t>讨论</w:t>
      </w:r>
    </w:p>
    <w:p>
      <w:r>
        <w:t>通过以单一流程重新分析所有可获得的人类升主动脉组织转录组，我们表明急性 A 型夹层与升主动脉瘤受大部分不同的分子程序驱动，仅有较小的共享核心。三个发现尤为突出。第一，夹层签名在 6 个队列、4 种平台间高度可重复，而动脉瘤签名弱且依赖队列。第二，两病在性质上不同：TAAD 以 SMC 收缩程序及内皮/外膜转录本丢失、缺氧、氧化应激、MYC/mTORC1 生物合成、p53 和未折叠蛋白程序激活以及固有（中性粒细胞/单核细胞、IL-6/STAT3）炎症为特征，而 ATAA 以 I 型干扰素信号、MHC II 类抗原呈递、淋巴细胞浸润和胶原/ECM 重塑为特征且无 SMC 含量丢失。第三，夹层特异程序在夹层与扩张中膜的独立同队列比较中得到复现，并支持 AUC 0.92 的跨队列分类。</w:t>
      </w:r>
    </w:p>
    <w:p>
      <w:pPr>
        <w:pStyle w:val="Heading2"/>
      </w:pPr>
      <w:r>
        <w:t>可重复性的不对称</w:t>
      </w:r>
    </w:p>
    <w:p>
      <w:r>
        <w:t>考虑到平台、对照组织和中心的异质性，夹层签名的可重复性令人瞩目，提示急性夹层对主动脉壁施加了一种主导的、刻板的转录反应。相反，ATAA 签名脆弱：剔除最大队列即去除 91% 的共识基因，且各动脉瘤队列彼此的相关性并不优于其与夹层队列的相关性。多种因素促成这一现象：动脉瘤是惰性、异质的状态，涵盖二叶瓣、退行性和综合征性等生物学不同的病因 [12,36]；对照组织从瓣膜手术患者的未扩张主动脉（GSE26155）到器官供体（GSE140947）不等，取样的壁层也不同。其实际意义在于：源自单一小队列的 ATAA 标志物或"枢纽基因"结论——此类发表甚多——在得到复制前应视为初步，而单队列夹层研究更可能具有普遍性。本研究的 LOCO 框架为此类复制提供了模板。</w:t>
      </w:r>
    </w:p>
    <w:p>
      <w:pPr>
        <w:pStyle w:val="Heading2"/>
      </w:pPr>
      <w:r>
        <w:t>夹层：伴平滑肌丢失与固有炎症的急性损伤</w:t>
      </w:r>
    </w:p>
    <w:p>
      <w:r>
        <w:t>夹层程序整合了若干既往被分别描述的机制。</w:t>
      </w:r>
      <w:r>
        <w:rPr>
          <w:i/>
        </w:rPr>
        <w:t>MYOCD</w:t>
      </w:r>
      <w:r>
        <w:t>、</w:t>
      </w:r>
      <w:r>
        <w:rPr>
          <w:i/>
        </w:rPr>
        <w:t>ACTA2</w:t>
      </w:r>
      <w:r>
        <w:t>、</w:t>
      </w:r>
      <w:r>
        <w:rPr>
          <w:i/>
        </w:rPr>
        <w:t>CNN1</w:t>
      </w:r>
      <w:r>
        <w:t>、</w:t>
      </w:r>
      <w:r>
        <w:rPr>
          <w:i/>
        </w:rPr>
        <w:t>LMOD1</w:t>
      </w:r>
      <w:r>
        <w:t xml:space="preserve"> 和 </w:t>
      </w:r>
      <w:r>
        <w:rPr>
          <w:i/>
        </w:rPr>
        <w:t>MYH11</w:t>
      </w:r>
      <w:r>
        <w:t xml:space="preserve"> 的丢失，加上平滑肌收缩和钙信号基因集的负向富集及 SMC 标志评分的降低，同时记录了 SMC 的丢失与去分化，与组织学上的 SMC 耗竭以及 SMC 力生成受损易致夹层的遗传学证据一致 [14,15,37,38]。内皮（</w:t>
      </w:r>
      <w:r>
        <w:rPr>
          <w:i/>
        </w:rPr>
        <w:t>VWF</w:t>
      </w:r>
      <w:r>
        <w:t>、</w:t>
      </w:r>
      <w:r>
        <w:rPr>
          <w:i/>
        </w:rPr>
        <w:t>PECAM1</w:t>
      </w:r>
      <w:r>
        <w:t>、</w:t>
      </w:r>
      <w:r>
        <w:rPr>
          <w:i/>
        </w:rPr>
        <w:t>TEK</w:t>
      </w:r>
      <w:r>
        <w:t>、</w:t>
      </w:r>
      <w:r>
        <w:rPr>
          <w:i/>
        </w:rPr>
        <w:t>ACKR1</w:t>
      </w:r>
      <w:r>
        <w:t>）与外膜成纤维细胞（</w:t>
      </w:r>
      <w:r>
        <w:rPr>
          <w:i/>
        </w:rPr>
        <w:t>PI16</w:t>
      </w:r>
      <w:r>
        <w:t>、</w:t>
      </w:r>
      <w:r>
        <w:rPr>
          <w:i/>
        </w:rPr>
        <w:t>DCN</w:t>
      </w:r>
      <w:r>
        <w:t>、</w:t>
      </w:r>
      <w:r>
        <w:rPr>
          <w:i/>
        </w:rPr>
        <w:t>APOD</w:t>
      </w:r>
      <w:r>
        <w:t>、</w:t>
      </w:r>
      <w:r>
        <w:rPr>
          <w:i/>
        </w:rPr>
        <w:t>CXCL14</w:t>
      </w:r>
      <w:r>
        <w:t>）转录本的同时丢失最可能反映中膜分层与假腔形成，使取样中膜与内膜、外膜在物理上分离。叠加于这一结构性丢失之上的是细胞应激反应——缺氧（</w:t>
      </w:r>
      <w:r>
        <w:rPr>
          <w:i/>
        </w:rPr>
        <w:t>HIF1A</w:t>
      </w:r>
      <w:r>
        <w:t>、</w:t>
      </w:r>
      <w:r>
        <w:rPr>
          <w:i/>
        </w:rPr>
        <w:t>VEGFA</w:t>
      </w:r>
      <w:r>
        <w:t>、</w:t>
      </w:r>
      <w:r>
        <w:rPr>
          <w:i/>
        </w:rPr>
        <w:t>ANGPTL4</w:t>
      </w:r>
      <w:r>
        <w:t>、</w:t>
      </w:r>
      <w:r>
        <w:rPr>
          <w:i/>
        </w:rPr>
        <w:t>HK2</w:t>
      </w:r>
      <w:r>
        <w:t>）、血红素/金属应激（</w:t>
      </w:r>
      <w:r>
        <w:rPr>
          <w:i/>
        </w:rPr>
        <w:t>HMOX1</w:t>
      </w:r>
      <w:r>
        <w:t>、</w:t>
      </w:r>
      <w:r>
        <w:rPr>
          <w:i/>
        </w:rPr>
        <w:t>MT1X</w:t>
      </w:r>
      <w:r>
        <w:t>、</w:t>
      </w:r>
      <w:r>
        <w:rPr>
          <w:i/>
        </w:rPr>
        <w:t>MT2A</w:t>
      </w:r>
      <w:r>
        <w:t>）、未折叠蛋白反应、NFE2L2 抗氧化靶基因、p53/</w:t>
      </w:r>
      <w:r>
        <w:rPr>
          <w:i/>
        </w:rPr>
        <w:t>CDKN1A</w:t>
      </w:r>
      <w:r>
        <w:t xml:space="preserve"> 及 DNA 损伤检查点——以及 MYC、mTORC1、核糖体生物合成、翻译和核苷酸代谢的显著激活。这一生物合成程序在直接比较队列中得到复现（MYC 靶基因 NES 3.19），并在相互作用网络中锚定于 </w:t>
      </w:r>
      <w:r>
        <w:rPr>
          <w:i/>
        </w:rPr>
        <w:t>AKT1</w:t>
      </w:r>
      <w:r>
        <w:t>、</w:t>
      </w:r>
      <w:r>
        <w:rPr>
          <w:i/>
        </w:rPr>
        <w:t>STAT3</w:t>
      </w:r>
      <w:r>
        <w:t xml:space="preserve"> 和 </w:t>
      </w:r>
      <w:r>
        <w:rPr>
          <w:i/>
        </w:rPr>
        <w:t>MYC</w:t>
      </w:r>
      <w:r>
        <w:t>；它在主动脉疾病中鲜受关注，与存活壁细胞和浸润白细胞的伤口愈合反应相容，并提示在实验模型中可预防夹层的 mTOR 抑制 [39] 可能部分经由此轴起作用。最后，固有炎症组分（</w:t>
      </w:r>
      <w:r>
        <w:rPr>
          <w:i/>
        </w:rPr>
        <w:t>IL6</w:t>
      </w:r>
      <w:r>
        <w:t>、</w:t>
      </w:r>
      <w:r>
        <w:rPr>
          <w:i/>
        </w:rPr>
        <w:t>CXCL8</w:t>
      </w:r>
      <w:r>
        <w:t>、</w:t>
      </w:r>
      <w:r>
        <w:rPr>
          <w:i/>
        </w:rPr>
        <w:t>CCL2</w:t>
      </w:r>
      <w:r>
        <w:t>、</w:t>
      </w:r>
      <w:r>
        <w:rPr>
          <w:i/>
        </w:rPr>
        <w:t>S100A8/A9</w:t>
      </w:r>
      <w:r>
        <w:t>、</w:t>
      </w:r>
      <w:r>
        <w:rPr>
          <w:i/>
        </w:rPr>
        <w:t>SPP1</w:t>
      </w:r>
      <w:r>
        <w:t>、</w:t>
      </w:r>
      <w:r>
        <w:rPr>
          <w:i/>
        </w:rPr>
        <w:t>SERPINE1</w:t>
      </w:r>
      <w:r>
        <w:t>、</w:t>
      </w:r>
      <w:r>
        <w:rPr>
          <w:i/>
        </w:rPr>
        <w:t>TIMP1</w:t>
      </w:r>
      <w:r>
        <w:t>、</w:t>
      </w:r>
      <w:r>
        <w:rPr>
          <w:i/>
        </w:rPr>
        <w:t>MMP14</w:t>
      </w:r>
      <w:r>
        <w:t>；S100A8/A9⁺ 髓系浸润）与实验性和人类夹层中中性粒细胞、GM-CSF 驱动的髓系细胞和 IL-6/STAT3 信号的既定作用一致 [8–11,40]。由于夹层标本在事件发生后数小时至数天获取，该程序的一部分必然是反应性而非致病性的；直接比较队列和单细胞数据支持其存在于中膜本身，但其与内膜撕裂的时间关系无法从手术采集的组织中确定。</w:t>
      </w:r>
    </w:p>
    <w:p>
      <w:pPr>
        <w:pStyle w:val="Heading2"/>
      </w:pPr>
      <w:r>
        <w:t>动脉瘤：干扰素、抗原呈递与基质重塑而无平滑肌丢失</w:t>
      </w:r>
    </w:p>
    <w:p>
      <w:r>
        <w:t>动脉瘤富集程序以干扰素刺激基因、MHC II 类分子、RFX5 调控子、</w:t>
      </w:r>
      <w:r>
        <w:rPr>
          <w:i/>
        </w:rPr>
        <w:t>CXCL10</w:t>
      </w:r>
      <w:r>
        <w:t>、</w:t>
      </w:r>
      <w:r>
        <w:rPr>
          <w:i/>
        </w:rPr>
        <w:t>VCAM1</w:t>
      </w:r>
      <w:r>
        <w:t>、</w:t>
      </w:r>
      <w:r>
        <w:rPr>
          <w:i/>
        </w:rPr>
        <w:t>ITGA4</w:t>
      </w:r>
      <w:r>
        <w:t xml:space="preserve"> 和 </w:t>
      </w:r>
      <w:r>
        <w:rPr>
          <w:i/>
        </w:rPr>
        <w:t>CXCR4</w:t>
      </w:r>
      <w:r>
        <w:t xml:space="preserve"> 以及胶原组装和 ECM 基因集为主，伴推断的 T、NK、浆细胞和 B 细胞浸润但 SMC、成纤维细胞和内皮细胞含量保留。这一谱与 ATAA 组织学上以淋巴细胞为主、巨噬细胞较少的浸润和中膜增生性重塑 [12,13] 以及 ASAP 研究中三叶瓣动脉瘤的免疫激活 [36] 相符。干扰素和抗原呈递签名已被关联于腹主动脉瘤的适应性免疫激活 [41] 和 SMC 表型转换，CXCL10 是 T 细胞趋化因子；本研究将这些观察扩展至升主动脉，并表明该程序不为急性夹层组织所共享——夹层中干扰素刺激基因相对对照无变化或降低。尽管与 TAAD 共享钙处理基因的轻度下调，ATAA 中无收缩基因丢失，提示散发性动脉瘤扩张更多由基质重塑和慢性免疫活动驱动，而非明显的 SMC 耗竭，与 Tang 等描述的增生性而非少细胞中膜一致 [13]。需注意两点：ATAA 程序依赖队列；且在直接的显微区域比较中，夹层中膜的干扰素活性高于而非低于扩张中膜；因此干扰素程序最好描述为相对非病变主动脉在动脉瘤中富集，而非在夹层中缺失。一个新颖且尚无解释的观察是动脉瘤中生物钟基因（</w:t>
      </w:r>
      <w:r>
        <w:rPr>
          <w:i/>
        </w:rPr>
        <w:t>BMAL1/ARNTL</w:t>
      </w:r>
      <w:r>
        <w:t>、</w:t>
      </w:r>
      <w:r>
        <w:rPr>
          <w:i/>
        </w:rPr>
        <w:t>NPAS2</w:t>
      </w:r>
      <w:r>
        <w:t>、</w:t>
      </w:r>
      <w:r>
        <w:rPr>
          <w:i/>
        </w:rPr>
        <w:t>PER3</w:t>
      </w:r>
      <w:r>
        <w:t>、</w:t>
      </w:r>
      <w:r>
        <w:rPr>
          <w:i/>
        </w:rPr>
        <w:t>CRY2</w:t>
      </w:r>
      <w:r>
        <w:t>）的协同下调，这与小鼠中生物钟破坏促进主动脉瘤的报道一致 [42]，值得专门研究。</w:t>
      </w:r>
    </w:p>
    <w:p>
      <w:pPr>
        <w:pStyle w:val="Heading2"/>
      </w:pPr>
      <w:r>
        <w:t>共享核心</w:t>
      </w:r>
    </w:p>
    <w:p>
      <w:r>
        <w:t>107 个共享基因和 15 个共享 Hallmark 基因集定义了共同的易损程序：NF-κB、IL-6/JAK/STAT3 和缺氧信号，血管生成（</w:t>
      </w:r>
      <w:r>
        <w:rPr>
          <w:i/>
        </w:rPr>
        <w:t>VEGFA</w:t>
      </w:r>
      <w:r>
        <w:t>、</w:t>
      </w:r>
      <w:r>
        <w:rPr>
          <w:i/>
        </w:rPr>
        <w:t>APLN</w:t>
      </w:r>
      <w:r>
        <w:t>），未折叠蛋白及胶原修饰酶（</w:t>
      </w:r>
      <w:r>
        <w:rPr>
          <w:i/>
        </w:rPr>
        <w:t>SERPINH1</w:t>
      </w:r>
      <w:r>
        <w:t>、</w:t>
      </w:r>
      <w:r>
        <w:rPr>
          <w:i/>
        </w:rPr>
        <w:t>P4HA1</w:t>
      </w:r>
      <w:r>
        <w:t>、</w:t>
      </w:r>
      <w:r>
        <w:rPr>
          <w:i/>
        </w:rPr>
        <w:t>PLOD1</w:t>
      </w:r>
      <w:r>
        <w:t>、</w:t>
      </w:r>
      <w:r>
        <w:rPr>
          <w:i/>
        </w:rPr>
        <w:t>LOXL3</w:t>
      </w:r>
      <w:r>
        <w:t>），TGF-β 信号，以及 SMC 钙处理基因（</w:t>
      </w:r>
      <w:r>
        <w:rPr>
          <w:i/>
        </w:rPr>
        <w:t>RYR2</w:t>
      </w:r>
      <w:r>
        <w:t>、</w:t>
      </w:r>
      <w:r>
        <w:rPr>
          <w:i/>
        </w:rPr>
        <w:t>CASQ1</w:t>
      </w:r>
      <w:r>
        <w:t>、</w:t>
      </w:r>
      <w:r>
        <w:rPr>
          <w:i/>
        </w:rPr>
        <w:t>DES</w:t>
      </w:r>
      <w:r>
        <w:t>、</w:t>
      </w:r>
      <w:r>
        <w:rPr>
          <w:i/>
        </w:rPr>
        <w:t>ACTN2</w:t>
      </w:r>
      <w:r>
        <w:t xml:space="preserve">）的丢失。这些过程正是单队列研究中最常报道的，也是旨在同时惠及两病的治疗最合理的靶点。值得注意的是，TGF-β 通路基因在两病中均升高且 TAAD 更强，与晚期主动脉病中代偿性或适应不良性 TGF-β 激活的概念一致 [4,16]；而 </w:t>
      </w:r>
      <w:r>
        <w:rPr>
          <w:i/>
        </w:rPr>
        <w:t>MMP2</w:t>
      </w:r>
      <w:r>
        <w:t xml:space="preserve"> 与 </w:t>
      </w:r>
      <w:r>
        <w:rPr>
          <w:i/>
        </w:rPr>
        <w:t>MMP9</w:t>
      </w:r>
      <w:r>
        <w:t xml:space="preserve"> 在转录本水平在两病中均无稳定改变，提示不宜将这些转录本用作组织标志物。</w:t>
      </w:r>
    </w:p>
    <w:p>
      <w:pPr>
        <w:pStyle w:val="Heading2"/>
      </w:pPr>
      <w:r>
        <w:t>转化意义</w:t>
      </w:r>
    </w:p>
    <w:p>
      <w:r>
        <w:t>疾病特异程序提示不同的治疗逻辑：夹层中限制急性应激信号（IL-6/STAT3、mTORC1、氧化应激）和髓系募集；动脉瘤中调节适应性/干扰素驱动的炎症和基质重塑。可重复的夹层签名亦支持循环标志物的开发：其最特异的成员中多个（</w:t>
      </w:r>
      <w:r>
        <w:rPr>
          <w:i/>
        </w:rPr>
        <w:t>IL6</w:t>
      </w:r>
      <w:r>
        <w:t>、</w:t>
      </w:r>
      <w:r>
        <w:rPr>
          <w:i/>
        </w:rPr>
        <w:t>CXCL8</w:t>
      </w:r>
      <w:r>
        <w:t>、</w:t>
      </w:r>
      <w:r>
        <w:rPr>
          <w:i/>
        </w:rPr>
        <w:t>SPP1</w:t>
      </w:r>
      <w:r>
        <w:t>、</w:t>
      </w:r>
      <w:r>
        <w:rPr>
          <w:i/>
        </w:rPr>
        <w:t>S100A8/A9</w:t>
      </w:r>
      <w:r>
        <w:t>、</w:t>
      </w:r>
      <w:r>
        <w:rPr>
          <w:i/>
        </w:rPr>
        <w:t>SERPINE1</w:t>
      </w:r>
      <w:r>
        <w:t>、</w:t>
      </w:r>
      <w:r>
        <w:rPr>
          <w:i/>
        </w:rPr>
        <w:t>TIMP1</w:t>
      </w:r>
      <w:r>
        <w:t>、</w:t>
      </w:r>
      <w:r>
        <w:rPr>
          <w:i/>
        </w:rPr>
        <w:t>HMOX1</w:t>
      </w:r>
      <w:r>
        <w:t>）编码分泌或脱落蛋白，且 LOCO 分类器表明一个紧凑面板可跨平台区分夹层与动脉瘤组织。这一区分能否在血液中捕获，以及开始获得夹层程序的动脉瘤是否面临迫近风险，是可检验的假设。</w:t>
      </w:r>
    </w:p>
    <w:p>
      <w:pPr>
        <w:pStyle w:val="Heading2"/>
      </w:pPr>
      <w:r>
        <w:t>局限性</w:t>
      </w:r>
    </w:p>
    <w:p>
      <w:r>
        <w:t>本研究为回顾性，基于临床注释不完整的公开数据；年龄、性别、瓣膜形态、用药、主动脉直径和距夹层发生的时间均无法建模。对照组织在队列间不同，夹层标本固有地包含出血、坏死和反应性改变。基于标志评分的组成推断是相对而非绝对的，单细胞比例受解离偏倚影响。直接比较队列样本量小且限于中膜，限制了基因和组成层面的验证；样本水平伪 bulk 验证受解离动脉瘤组织中免疫细胞富集的混杂，细胞类型分辨的比较部分克服了这一问题。动脉瘤签名异质，其特异组分需在更大的、按病因分层的队列中复制。最后，未进行实验验证；本分析为机制研究提供假设。</w:t>
      </w:r>
    </w:p>
    <w:p>
      <w:pPr>
        <w:pStyle w:val="Heading1"/>
      </w:pPr>
      <w:r>
        <w:t>结论</w:t>
      </w:r>
    </w:p>
    <w:p>
      <w:r>
        <w:t>在所有可获得的人类主动脉转录组中，急性 A 型夹层与升主动脉瘤显示有限的共享 NF-κB/IL-6/缺氧/TGF-β 核心，但在其他方面受不同的分子程序驱动：夹层由 SMC 丢失、急性缺氧与生物合成应激伴 MYC/mTORC1 激活以及固有炎症的可重复签名所定义，而动脉瘤由干扰素/抗原呈递程序伴淋巴细胞浸润和基质重塑、且无 SMC 丢失所定义。这些发现在分子层面不支持简单的"动脉瘤到夹层"连续体，并为疾病特异的标志物和靶点发现提供了经验证的框架与基因集。</w:t>
      </w:r>
    </w:p>
    <w:p>
      <w:pPr>
        <w:pStyle w:val="Heading1"/>
      </w:pPr>
      <w:r>
        <w:t>缩略语</w:t>
      </w:r>
    </w:p>
    <w:p>
      <w:r>
        <w:t>ATAA：升主动脉瘤；TAAD：Stanford A 型主动脉夹层；SMC：平滑肌细胞；ECM：细胞外基质；GEO：基因表达综合数据库；DEG：差异表达基因；FDR：错误发现率；GSEA：基因集富集分析；ssGSEA：单样本 GSEA；NES：标准化富集分数；LOCO：留一队列；AUC：受试者工作特征曲线下面积；PPI：蛋白-蛋白相互作用；scRNA-seq：单细胞 RNA 测序；MHC：主要组织相容性复合体。</w:t>
      </w:r>
    </w:p>
    <w:p>
      <w:pPr>
        <w:pStyle w:val="Heading1"/>
      </w:pPr>
      <w:r>
        <w:t>声明</w:t>
      </w:r>
    </w:p>
    <w:p>
      <w:r>
        <w:rPr>
          <w:b/>
        </w:rPr>
        <w:t>伦理批准与知情同意</w:t>
      </w:r>
      <w:r>
        <w:t xml:space="preserve"> 不适用；所有数据均为公开且去标识化。</w:t>
      </w:r>
    </w:p>
    <w:p>
      <w:r>
        <w:rPr>
          <w:b/>
        </w:rPr>
        <w:t>发表同意</w:t>
      </w:r>
      <w:r>
        <w:t xml:space="preserve"> 不适用。</w:t>
      </w:r>
    </w:p>
    <w:p>
      <w:r>
        <w:rPr>
          <w:b/>
        </w:rPr>
        <w:t>数据与材料的可获得性</w:t>
      </w:r>
      <w:r>
        <w:t xml:space="preserve"> 所有数据集可从 GEO 获取，登录号为 GSE26155、GSE140947、GSE235161、GSE202267、GSE52093、GSE153434、GSE98770、GSE294606、GSE267434、GSE147026、GSE190635、GSE318877、GSE155468 和 GSE213740。分析代码、处理后表达矩阵、队列水平与 meta 分析结果表、通路、细胞组成、网络及分类器输出均在配套仓库（scripts/、results/、figures/ 目录）及附加文件中提供。</w:t>
      </w:r>
    </w:p>
    <w:p>
      <w:r>
        <w:rPr>
          <w:b/>
        </w:rPr>
        <w:t>利益冲突</w:t>
      </w:r>
      <w:r>
        <w:t xml:space="preserve"> 作者声明无利益冲突。</w:t>
      </w:r>
    </w:p>
    <w:p>
      <w:r>
        <w:rPr>
          <w:b/>
        </w:rPr>
        <w:t>基金</w:t>
      </w:r>
      <w:r>
        <w:t xml:space="preserve"> [待补充。]</w:t>
      </w:r>
    </w:p>
    <w:p>
      <w:r>
        <w:rPr>
          <w:b/>
        </w:rPr>
        <w:t>作者贡献</w:t>
      </w:r>
      <w:r>
        <w:t xml:space="preserve"> [待补充：构思与设计；数据获取与分析；结果解释；起草；批判性修改。所有作者均阅读并批准最终稿。]</w:t>
      </w:r>
    </w:p>
    <w:p>
      <w:r>
        <w:rPr>
          <w:b/>
        </w:rPr>
        <w:t>致谢</w:t>
      </w:r>
      <w:r>
        <w:t xml:space="preserve"> 感谢将原始数据集上传至 GEO 的各研究者。</w:t>
      </w:r>
    </w:p>
    <w:p>
      <w:pPr>
        <w:pStyle w:val="Heading1"/>
      </w:pPr>
      <w:r>
        <w:t>参考文献</w:t>
      </w:r>
    </w:p>
    <w:p>
      <w:r>
        <w:t>（与英文稿相同，采用 Vancouver 顺序编号，共 48 条；见 manuscript.md。）</w:t>
      </w:r>
    </w:p>
    <w:p>
      <w:pPr>
        <w:pStyle w:val="Heading1"/>
      </w:pPr>
      <w:r>
        <w:t>图注</w:t>
      </w:r>
    </w:p>
    <w:p>
      <w:r>
        <w:drawing>
          <wp:inline xmlns:a="http://schemas.openxmlformats.org/drawingml/2006/main" xmlns:pic="http://schemas.openxmlformats.org/drawingml/2006/picture">
            <wp:extent cx="5760720" cy="34967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3496717"/>
                    </a:xfrm>
                    <a:prstGeom prst="rect"/>
                  </pic:spPr>
                </pic:pic>
              </a:graphicData>
            </a:graphic>
          </wp:inline>
        </w:drawing>
      </w:r>
    </w:p>
    <w:p>
      <w:r>
        <w:drawing>
          <wp:inline xmlns:a="http://schemas.openxmlformats.org/drawingml/2006/main" xmlns:pic="http://schemas.openxmlformats.org/drawingml/2006/picture">
            <wp:extent cx="5760720" cy="4917688"/>
            <wp:docPr id="2" name="Picture 2"/>
            <wp:cNvGraphicFramePr>
              <a:graphicFrameLocks noChangeAspect="1"/>
            </wp:cNvGraphicFramePr>
            <a:graphic>
              <a:graphicData uri="http://schemas.openxmlformats.org/drawingml/2006/picture">
                <pic:pic>
                  <pic:nvPicPr>
                    <pic:cNvPr id="0" name="Fig1b_cohort_concordance.png"/>
                    <pic:cNvPicPr/>
                  </pic:nvPicPr>
                  <pic:blipFill>
                    <a:blip r:embed="rId10"/>
                    <a:stretch>
                      <a:fillRect/>
                    </a:stretch>
                  </pic:blipFill>
                  <pic:spPr>
                    <a:xfrm>
                      <a:off x="0" y="0"/>
                      <a:ext cx="5760720" cy="4917688"/>
                    </a:xfrm>
                    <a:prstGeom prst="rect"/>
                  </pic:spPr>
                </pic:pic>
              </a:graphicData>
            </a:graphic>
          </wp:inline>
        </w:drawing>
      </w:r>
    </w:p>
    <w:p>
      <w:r>
        <w:rPr>
          <w:b/>
        </w:rPr>
        <w:t>图 1 研究设计与队列一致性。</w:t>
      </w:r>
      <w:r>
        <w:t xml:space="preserve"> </w:t>
      </w:r>
      <w:r>
        <w:rPr>
          <w:b/>
        </w:rPr>
        <w:t>a</w:t>
      </w:r>
      <w:r>
        <w:t xml:space="preserve"> 数据来源、处理、meta 分析、比较与验证步骤概览。</w:t>
      </w:r>
      <w:r>
        <w:rPr>
          <w:b/>
        </w:rPr>
        <w:t>b</w:t>
      </w:r>
      <w:r>
        <w:t xml:space="preserve"> 各队列间在任一队列 FDR&lt;0.05 基因上的校正差异表达统计量的两两 Spearman 相关；TAAD 队列彼此一致而 ATAA 队列不一致，GSE190635 与其他所有 TAAD 队列负相关（已排除）。</w:t>
      </w:r>
    </w:p>
    <w:p>
      <w:r>
        <w:drawing>
          <wp:inline xmlns:a="http://schemas.openxmlformats.org/drawingml/2006/main" xmlns:pic="http://schemas.openxmlformats.org/drawingml/2006/picture">
            <wp:extent cx="5760720" cy="1766621"/>
            <wp:docPr id="3" name="Picture 3"/>
            <wp:cNvGraphicFramePr>
              <a:graphicFrameLocks noChangeAspect="1"/>
            </wp:cNvGraphicFramePr>
            <a:graphic>
              <a:graphicData uri="http://schemas.openxmlformats.org/drawingml/2006/picture">
                <pic:pic>
                  <pic:nvPicPr>
                    <pic:cNvPr id="0" name="Fig2_gene_level_comparison.png"/>
                    <pic:cNvPicPr/>
                  </pic:nvPicPr>
                  <pic:blipFill>
                    <a:blip r:embed="rId11"/>
                    <a:stretch>
                      <a:fillRect/>
                    </a:stretch>
                  </pic:blipFill>
                  <pic:spPr>
                    <a:xfrm>
                      <a:off x="0" y="0"/>
                      <a:ext cx="5760720" cy="1766621"/>
                    </a:xfrm>
                    <a:prstGeom prst="rect"/>
                  </pic:spPr>
                </pic:pic>
              </a:graphicData>
            </a:graphic>
          </wp:inline>
        </w:drawing>
      </w:r>
    </w:p>
    <w:p>
      <w:r>
        <w:rPr>
          <w:b/>
        </w:rPr>
        <w:t>图 2 ATAA 与 TAAD 的基因层面比较。</w:t>
      </w:r>
      <w:r>
        <w:t xml:space="preserve"> </w:t>
      </w:r>
      <w:r>
        <w:rPr>
          <w:b/>
        </w:rPr>
        <w:t>a</w:t>
      </w:r>
      <w:r>
        <w:t xml:space="preserve"> 两病均有定量的 11,235 个基因的随机效应 meta 分析 log2 倍数变化（疾病 vs 非病变主动脉），按基因类别着色。</w:t>
      </w:r>
      <w:r>
        <w:rPr>
          <w:b/>
        </w:rPr>
        <w:t>b</w:t>
      </w:r>
      <w:r>
        <w:t xml:space="preserve"> 预测的疾病间差异（log2FC_TAAD − log2FC_ATAA）与独立直接比较队列 GSE318877 中夹层 vs 扩张中膜的观察 log2 倍数变化；红色为 FDR_diff&lt;0.05 的基因。</w:t>
      </w:r>
      <w:r>
        <w:rPr>
          <w:b/>
        </w:rPr>
        <w:t>c</w:t>
      </w:r>
      <w:r>
        <w:t xml:space="preserve"> 各类别共识 DEG 数目。</w:t>
      </w:r>
    </w:p>
    <w:p>
      <w:r>
        <w:drawing>
          <wp:inline xmlns:a="http://schemas.openxmlformats.org/drawingml/2006/main" xmlns:pic="http://schemas.openxmlformats.org/drawingml/2006/picture">
            <wp:extent cx="5760720" cy="6808124"/>
            <wp:docPr id="4" name="Picture 4"/>
            <wp:cNvGraphicFramePr>
              <a:graphicFrameLocks noChangeAspect="1"/>
            </wp:cNvGraphicFramePr>
            <a:graphic>
              <a:graphicData uri="http://schemas.openxmlformats.org/drawingml/2006/picture">
                <pic:pic>
                  <pic:nvPicPr>
                    <pic:cNvPr id="0" name="Fig3_hallmark_NES_heatmap.png"/>
                    <pic:cNvPicPr/>
                  </pic:nvPicPr>
                  <pic:blipFill>
                    <a:blip r:embed="rId12"/>
                    <a:stretch>
                      <a:fillRect/>
                    </a:stretch>
                  </pic:blipFill>
                  <pic:spPr>
                    <a:xfrm>
                      <a:off x="0" y="0"/>
                      <a:ext cx="5760720" cy="6808124"/>
                    </a:xfrm>
                    <a:prstGeom prst="rect"/>
                  </pic:spPr>
                </pic:pic>
              </a:graphicData>
            </a:graphic>
          </wp:inline>
        </w:drawing>
      </w:r>
    </w:p>
    <w:p>
      <w:r>
        <w:drawing>
          <wp:inline xmlns:a="http://schemas.openxmlformats.org/drawingml/2006/main" xmlns:pic="http://schemas.openxmlformats.org/drawingml/2006/picture">
            <wp:extent cx="5760720" cy="2496312"/>
            <wp:docPr id="5" name="Picture 5"/>
            <wp:cNvGraphicFramePr>
              <a:graphicFrameLocks noChangeAspect="1"/>
            </wp:cNvGraphicFramePr>
            <a:graphic>
              <a:graphicData uri="http://schemas.openxmlformats.org/drawingml/2006/picture">
                <pic:pic>
                  <pic:nvPicPr>
                    <pic:cNvPr id="0" name="Fig3b_pathway_scatter.png"/>
                    <pic:cNvPicPr/>
                  </pic:nvPicPr>
                  <pic:blipFill>
                    <a:blip r:embed="rId13"/>
                    <a:stretch>
                      <a:fillRect/>
                    </a:stretch>
                  </pic:blipFill>
                  <pic:spPr>
                    <a:xfrm>
                      <a:off x="0" y="0"/>
                      <a:ext cx="5760720" cy="2496312"/>
                    </a:xfrm>
                    <a:prstGeom prst="rect"/>
                  </pic:spPr>
                </pic:pic>
              </a:graphicData>
            </a:graphic>
          </wp:inline>
        </w:drawing>
      </w:r>
    </w:p>
    <w:p>
      <w:r>
        <w:rPr>
          <w:b/>
        </w:rPr>
        <w:t>图 3 通路层面比较。</w:t>
      </w:r>
      <w:r>
        <w:t xml:space="preserve"> </w:t>
      </w:r>
      <w:r>
        <w:rPr>
          <w:b/>
        </w:rPr>
        <w:t>a</w:t>
      </w:r>
      <w:r>
        <w:t xml:space="preserve"> 各队列、ATAA 与 TAAD meta 排序、差异排序（TAAD − ATAA）及直接比较（GSE318877）的 Hallmark GSEA 标准化富集分数（NES）；星号为 FDR&lt;0.05；行按差异 NES 排序。</w:t>
      </w:r>
      <w:r>
        <w:rPr>
          <w:b/>
        </w:rPr>
        <w:t>b</w:t>
      </w:r>
      <w:r>
        <w:t xml:space="preserve"> 左：ATAA 与 TAAD 疾病水平 Hallmark NES 对比；右：meta 差异排序的 NES 与直接夹层 vs 扩张比较的 NES 在所有 Hallmark、KEGG 和 Reactome 基因集上的关系（ρ=0.42）。</w:t>
      </w:r>
    </w:p>
    <w:p>
      <w:r>
        <w:drawing>
          <wp:inline xmlns:a="http://schemas.openxmlformats.org/drawingml/2006/main" xmlns:pic="http://schemas.openxmlformats.org/drawingml/2006/picture">
            <wp:extent cx="5760720" cy="2437228"/>
            <wp:docPr id="6" name="Picture 6"/>
            <wp:cNvGraphicFramePr>
              <a:graphicFrameLocks noChangeAspect="1"/>
            </wp:cNvGraphicFramePr>
            <a:graphic>
              <a:graphicData uri="http://schemas.openxmlformats.org/drawingml/2006/picture">
                <pic:pic>
                  <pic:nvPicPr>
                    <pic:cNvPr id="0" name="Fig4_cell_composition.png"/>
                    <pic:cNvPicPr/>
                  </pic:nvPicPr>
                  <pic:blipFill>
                    <a:blip r:embed="rId14"/>
                    <a:stretch>
                      <a:fillRect/>
                    </a:stretch>
                  </pic:blipFill>
                  <pic:spPr>
                    <a:xfrm>
                      <a:off x="0" y="0"/>
                      <a:ext cx="5760720" cy="2437228"/>
                    </a:xfrm>
                    <a:prstGeom prst="rect"/>
                  </pic:spPr>
                </pic:pic>
              </a:graphicData>
            </a:graphic>
          </wp:inline>
        </w:drawing>
      </w:r>
    </w:p>
    <w:p>
      <w:r>
        <w:rPr>
          <w:b/>
        </w:rPr>
        <w:t>图 4 推断的细胞组成。</w:t>
      </w:r>
      <w:r>
        <w:t xml:space="preserve"> </w:t>
      </w:r>
      <w:r>
        <w:rPr>
          <w:b/>
        </w:rPr>
        <w:t>a</w:t>
      </w:r>
      <w:r>
        <w:t xml:space="preserve"> ATAA（绿）与 TAAD（红）相对对照的 ssGSEA 细胞类型评分的合并 Hedges' g（±95% CI），并标出直接夹层 vs 扩张效应（菱形）；#，P_diff&lt;0.05。</w:t>
      </w:r>
      <w:r>
        <w:rPr>
          <w:b/>
        </w:rPr>
        <w:t>b</w:t>
      </w:r>
      <w:r>
        <w:t xml:space="preserve"> 各队列效应；星号为 Mann–Whitney P&lt;0.05。</w:t>
      </w:r>
    </w:p>
    <w:p>
      <w:r>
        <w:drawing>
          <wp:inline xmlns:a="http://schemas.openxmlformats.org/drawingml/2006/main" xmlns:pic="http://schemas.openxmlformats.org/drawingml/2006/picture">
            <wp:extent cx="5760720" cy="1491010"/>
            <wp:docPr id="7" name="Picture 7"/>
            <wp:cNvGraphicFramePr>
              <a:graphicFrameLocks noChangeAspect="1"/>
            </wp:cNvGraphicFramePr>
            <a:graphic>
              <a:graphicData uri="http://schemas.openxmlformats.org/drawingml/2006/picture">
                <pic:pic>
                  <pic:nvPicPr>
                    <pic:cNvPr id="0" name="Fig5_signature_ml.png"/>
                    <pic:cNvPicPr/>
                  </pic:nvPicPr>
                  <pic:blipFill>
                    <a:blip r:embed="rId15"/>
                    <a:stretch>
                      <a:fillRect/>
                    </a:stretch>
                  </pic:blipFill>
                  <pic:spPr>
                    <a:xfrm>
                      <a:off x="0" y="0"/>
                      <a:ext cx="5760720" cy="1491010"/>
                    </a:xfrm>
                    <a:prstGeom prst="rect"/>
                  </pic:spPr>
                </pic:pic>
              </a:graphicData>
            </a:graphic>
          </wp:inline>
        </w:drawing>
      </w:r>
    </w:p>
    <w:p>
      <w:r>
        <w:rPr>
          <w:b/>
        </w:rPr>
        <w:t>图 5 对照参照签名评分与留一队列分类。</w:t>
      </w:r>
      <w:r>
        <w:t xml:space="preserve"> </w:t>
      </w:r>
      <w:r>
        <w:rPr>
          <w:b/>
        </w:rPr>
        <w:t>a、b</w:t>
      </w:r>
      <w:r>
        <w:t xml:space="preserve"> 疾病样本相对各自队列对照的 TAAD 特异与 ATAA 特异评分。</w:t>
      </w:r>
      <w:r>
        <w:rPr>
          <w:b/>
        </w:rPr>
        <w:t>c</w:t>
      </w:r>
      <w:r>
        <w:t xml:space="preserve"> LOCO 弹性网分类器（汇总留出预测）及其应用于 scRNA-seq 伪 bulk 谱的受试者工作特征曲线。</w:t>
      </w:r>
      <w:r>
        <w:rPr>
          <w:b/>
        </w:rPr>
        <w:t>d</w:t>
      </w:r>
      <w:r>
        <w:t xml:space="preserve"> GSE318877 中夹层与扩张主动脉中膜显微区域的 TAAD 特异评分，按受试者着色。</w:t>
      </w:r>
    </w:p>
    <w:p>
      <w:r>
        <w:drawing>
          <wp:inline xmlns:a="http://schemas.openxmlformats.org/drawingml/2006/main" xmlns:pic="http://schemas.openxmlformats.org/drawingml/2006/picture">
            <wp:extent cx="5760720" cy="2880360"/>
            <wp:docPr id="8" name="Picture 8"/>
            <wp:cNvGraphicFramePr>
              <a:graphicFrameLocks noChangeAspect="1"/>
            </wp:cNvGraphicFramePr>
            <a:graphic>
              <a:graphicData uri="http://schemas.openxmlformats.org/drawingml/2006/picture">
                <pic:pic>
                  <pic:nvPicPr>
                    <pic:cNvPr id="0" name="Fig6_PPI_hubs.png"/>
                    <pic:cNvPicPr/>
                  </pic:nvPicPr>
                  <pic:blipFill>
                    <a:blip r:embed="rId16"/>
                    <a:stretch>
                      <a:fillRect/>
                    </a:stretch>
                  </pic:blipFill>
                  <pic:spPr>
                    <a:xfrm>
                      <a:off x="0" y="0"/>
                      <a:ext cx="5760720" cy="2880360"/>
                    </a:xfrm>
                    <a:prstGeom prst="rect"/>
                  </pic:spPr>
                </pic:pic>
              </a:graphicData>
            </a:graphic>
          </wp:inline>
        </w:drawing>
      </w:r>
    </w:p>
    <w:p>
      <w:r>
        <w:rPr>
          <w:b/>
        </w:rPr>
        <w:t>图 6 STRING 相互作用网络</w:t>
      </w:r>
      <w:r>
        <w:t>：</w:t>
      </w:r>
      <w:r>
        <w:rPr>
          <w:b/>
        </w:rPr>
        <w:t>a</w:t>
      </w:r>
      <w:r>
        <w:t xml:space="preserve"> TAAD 特异与 </w:t>
      </w:r>
      <w:r>
        <w:rPr>
          <w:b/>
        </w:rPr>
        <w:t>b</w:t>
      </w:r>
      <w:r>
        <w:t xml:space="preserve"> ATAA 特异基因中前 40 位枢纽（红，在相应疾病中上调；蓝，下调；节点大小与度成正比）。</w:t>
      </w:r>
    </w:p>
    <w:p>
      <w:r>
        <w:drawing>
          <wp:inline xmlns:a="http://schemas.openxmlformats.org/drawingml/2006/main" xmlns:pic="http://schemas.openxmlformats.org/drawingml/2006/picture">
            <wp:extent cx="5760720" cy="1792224"/>
            <wp:docPr id="9" name="Picture 9"/>
            <wp:cNvGraphicFramePr>
              <a:graphicFrameLocks noChangeAspect="1"/>
            </wp:cNvGraphicFramePr>
            <a:graphic>
              <a:graphicData uri="http://schemas.openxmlformats.org/drawingml/2006/picture">
                <pic:pic>
                  <pic:nvPicPr>
                    <pic:cNvPr id="0" name="Fig7_scRNA_overview.png"/>
                    <pic:cNvPicPr/>
                  </pic:nvPicPr>
                  <pic:blipFill>
                    <a:blip r:embed="rId17"/>
                    <a:stretch>
                      <a:fillRect/>
                    </a:stretch>
                  </pic:blipFill>
                  <pic:spPr>
                    <a:xfrm>
                      <a:off x="0" y="0"/>
                      <a:ext cx="5760720" cy="1792224"/>
                    </a:xfrm>
                    <a:prstGeom prst="rect"/>
                  </pic:spPr>
                </pic:pic>
              </a:graphicData>
            </a:graphic>
          </wp:inline>
        </w:drawing>
      </w:r>
    </w:p>
    <w:p>
      <w:r>
        <w:rPr>
          <w:b/>
        </w:rPr>
        <w:t>图 7 人升主动脉整合单细胞图谱。</w:t>
      </w:r>
      <w:r>
        <w:t xml:space="preserve"> </w:t>
      </w:r>
      <w:r>
        <w:rPr>
          <w:b/>
        </w:rPr>
        <w:t>a</w:t>
      </w:r>
      <w:r>
        <w:t xml:space="preserve"> GSE155468 与 GSE213740 经 Harmony 整合后 73,755 个细胞的 UMAP。</w:t>
      </w:r>
      <w:r>
        <w:rPr>
          <w:b/>
        </w:rPr>
        <w:t>b、c</w:t>
      </w:r>
      <w:r>
        <w:t xml:space="preserve"> 各数据集中各组的平均细胞类型比例。</w:t>
      </w:r>
    </w:p>
    <w:p>
      <w:r>
        <w:drawing>
          <wp:inline xmlns:a="http://schemas.openxmlformats.org/drawingml/2006/main" xmlns:pic="http://schemas.openxmlformats.org/drawingml/2006/picture">
            <wp:extent cx="5760720" cy="2122371"/>
            <wp:docPr id="10" name="Picture 10"/>
            <wp:cNvGraphicFramePr>
              <a:graphicFrameLocks noChangeAspect="1"/>
            </wp:cNvGraphicFramePr>
            <a:graphic>
              <a:graphicData uri="http://schemas.openxmlformats.org/drawingml/2006/picture">
                <pic:pic>
                  <pic:nvPicPr>
                    <pic:cNvPr id="0" name="Fig8_sc_validation.png"/>
                    <pic:cNvPicPr/>
                  </pic:nvPicPr>
                  <pic:blipFill>
                    <a:blip r:embed="rId18"/>
                    <a:stretch>
                      <a:fillRect/>
                    </a:stretch>
                  </pic:blipFill>
                  <pic:spPr>
                    <a:xfrm>
                      <a:off x="0" y="0"/>
                      <a:ext cx="5760720" cy="2122371"/>
                    </a:xfrm>
                    <a:prstGeom prst="rect"/>
                  </pic:spPr>
                </pic:pic>
              </a:graphicData>
            </a:graphic>
          </wp:inline>
        </w:drawing>
      </w:r>
    </w:p>
    <w:p>
      <w:r>
        <w:rPr>
          <w:b/>
        </w:rPr>
        <w:t>图 8 细胞类型分辨的验证。</w:t>
      </w:r>
      <w:r>
        <w:t xml:space="preserve"> </w:t>
      </w:r>
      <w:r>
        <w:rPr>
          <w:b/>
        </w:rPr>
        <w:t>a、b</w:t>
      </w:r>
      <w:r>
        <w:t xml:space="preserve"> GSE155468（ATAA）与 GSE213740（TAAD）中各细胞类型的伪 bulk log2 倍数变化（疾病 vs 对照），示前列 TAAD 特异与 ATAA 特异基因。</w:t>
      </w:r>
      <w:r>
        <w:rPr>
          <w:b/>
        </w:rPr>
        <w:t>c</w:t>
      </w:r>
      <w:r>
        <w:t xml:space="preserve"> 对照主动脉中各基因类别表达可归于各细胞类型的比例。</w:t>
      </w:r>
    </w:p>
    <w:p>
      <w:pPr>
        <w:pStyle w:val="Heading1"/>
      </w:pPr>
      <w:r>
        <w:t>表</w:t>
      </w:r>
    </w:p>
    <w:p>
      <w:r>
        <w:rPr>
          <w:b/>
        </w:rPr>
        <w:t>表 1</w:t>
      </w:r>
      <w:r>
        <w:t xml:space="preserve"> 纳入研究的队列（见 manuscript/Table1_cohorts.csv）。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sz w:val="16"/>
              </w:rPr>
              <w:t>Accession</w:t>
            </w:r>
          </w:p>
        </w:tc>
        <w:tc>
          <w:tcPr>
            <w:tcW w:type="dxa" w:w="1045"/>
          </w:tcPr>
          <w:p>
            <w:r>
              <w:rPr>
                <w:sz w:val="16"/>
              </w:rPr>
              <w:t>Disease</w:t>
            </w:r>
          </w:p>
        </w:tc>
        <w:tc>
          <w:tcPr>
            <w:tcW w:type="dxa" w:w="1045"/>
          </w:tcPr>
          <w:p>
            <w:r>
              <w:rPr>
                <w:sz w:val="16"/>
              </w:rPr>
              <w:t>Design</w:t>
            </w:r>
          </w:p>
        </w:tc>
        <w:tc>
          <w:tcPr>
            <w:tcW w:type="dxa" w:w="1045"/>
          </w:tcPr>
          <w:p>
            <w:r>
              <w:rPr>
                <w:sz w:val="16"/>
              </w:rPr>
              <w:t>Platform</w:t>
            </w:r>
          </w:p>
        </w:tc>
        <w:tc>
          <w:tcPr>
            <w:tcW w:type="dxa" w:w="1045"/>
          </w:tcPr>
          <w:p>
            <w:r>
              <w:rPr>
                <w:sz w:val="16"/>
              </w:rPr>
              <w:t>Cases</w:t>
            </w:r>
          </w:p>
        </w:tc>
        <w:tc>
          <w:tcPr>
            <w:tcW w:type="dxa" w:w="1045"/>
          </w:tcPr>
          <w:p>
            <w:r>
              <w:rPr>
                <w:sz w:val="16"/>
              </w:rPr>
              <w:t>Controls</w:t>
            </w:r>
          </w:p>
        </w:tc>
        <w:tc>
          <w:tcPr>
            <w:tcW w:type="dxa" w:w="1045"/>
          </w:tcPr>
          <w:p>
            <w:r>
              <w:rPr>
                <w:sz w:val="16"/>
              </w:rPr>
              <w:t>DE method</w:t>
            </w:r>
          </w:p>
        </w:tc>
        <w:tc>
          <w:tcPr>
            <w:tcW w:type="dxa" w:w="1045"/>
          </w:tcPr>
          <w:p>
            <w:r>
              <w:rPr>
                <w:sz w:val="16"/>
              </w:rPr>
              <w:t>DEGs FDR05</w:t>
            </w:r>
          </w:p>
        </w:tc>
        <w:tc>
          <w:tcPr>
            <w:tcW w:type="dxa" w:w="1045"/>
          </w:tcPr>
          <w:p>
            <w:r>
              <w:rPr>
                <w:sz w:val="16"/>
              </w:rPr>
              <w:t>Role</w:t>
            </w:r>
          </w:p>
        </w:tc>
      </w:tr>
      <w:tr>
        <w:tc>
          <w:tcPr>
            <w:tcW w:type="dxa" w:w="1045"/>
          </w:tcPr>
          <w:p>
            <w:r>
              <w:rPr>
                <w:sz w:val="16"/>
              </w:rPr>
              <w:t>GSE26155</w:t>
            </w:r>
          </w:p>
        </w:tc>
        <w:tc>
          <w:tcPr>
            <w:tcW w:type="dxa" w:w="1045"/>
          </w:tcPr>
          <w:p>
            <w:r>
              <w:rPr>
                <w:sz w:val="16"/>
              </w:rPr>
              <w:t>ATAA</w:t>
            </w:r>
          </w:p>
        </w:tc>
        <w:tc>
          <w:tcPr>
            <w:tcW w:type="dxa" w:w="1045"/>
          </w:tcPr>
          <w:p>
            <w:r>
              <w:rPr>
                <w:sz w:val="16"/>
              </w:rPr>
              <w:t>Ascending aorta intima-media; dilated (&gt;45 mm) vs non-dilated (&lt;40 mm) TAV patients</w:t>
            </w:r>
          </w:p>
        </w:tc>
        <w:tc>
          <w:tcPr>
            <w:tcW w:type="dxa" w:w="1045"/>
          </w:tcPr>
          <w:p>
            <w:r>
              <w:rPr>
                <w:sz w:val="16"/>
              </w:rPr>
              <w:t>Affymetrix Human Exon 1.0 ST</w:t>
            </w:r>
          </w:p>
        </w:tc>
        <w:tc>
          <w:tcPr>
            <w:tcW w:type="dxa" w:w="1045"/>
          </w:tcPr>
          <w:p>
            <w:r>
              <w:rPr>
                <w:sz w:val="16"/>
              </w:rPr>
              <w:t>ATAA=22</w:t>
            </w:r>
          </w:p>
        </w:tc>
        <w:tc>
          <w:tcPr>
            <w:tcW w:type="dxa" w:w="1045"/>
          </w:tcPr>
          <w:p>
            <w:r>
              <w:rPr>
                <w:sz w:val="16"/>
              </w:rPr>
              <w:t>31</w:t>
            </w:r>
          </w:p>
        </w:tc>
        <w:tc>
          <w:tcPr>
            <w:tcW w:type="dxa" w:w="1045"/>
          </w:tcPr>
          <w:p>
            <w:r>
              <w:rPr>
                <w:sz w:val="16"/>
              </w:rPr>
              <w:t>limma-trend</w:t>
            </w:r>
          </w:p>
        </w:tc>
        <w:tc>
          <w:tcPr>
            <w:tcW w:type="dxa" w:w="1045"/>
          </w:tcPr>
          <w:p>
            <w:r>
              <w:rPr>
                <w:sz w:val="16"/>
              </w:rPr>
              <w:t>1966</w:t>
            </w:r>
          </w:p>
        </w:tc>
        <w:tc>
          <w:tcPr>
            <w:tcW w:type="dxa" w:w="1045"/>
          </w:tcPr>
          <w:p>
            <w:r>
              <w:rPr>
                <w:sz w:val="16"/>
              </w:rPr>
              <w:t>ATAA meta-analysis</w:t>
            </w:r>
          </w:p>
        </w:tc>
      </w:tr>
      <w:tr>
        <w:tc>
          <w:tcPr>
            <w:tcW w:type="dxa" w:w="1045"/>
          </w:tcPr>
          <w:p>
            <w:r>
              <w:rPr>
                <w:sz w:val="16"/>
              </w:rPr>
              <w:t>GSE140947</w:t>
            </w:r>
          </w:p>
        </w:tc>
        <w:tc>
          <w:tcPr>
            <w:tcW w:type="dxa" w:w="1045"/>
          </w:tcPr>
          <w:p>
            <w:r>
              <w:rPr>
                <w:sz w:val="16"/>
              </w:rPr>
              <w:t>ATAA</w:t>
            </w:r>
          </w:p>
        </w:tc>
        <w:tc>
          <w:tcPr>
            <w:tcW w:type="dxa" w:w="1045"/>
          </w:tcPr>
          <w:p>
            <w:r>
              <w:rPr>
                <w:sz w:val="16"/>
              </w:rPr>
              <w:t>Ascending aortic media (aneurysm neck + belly per patient) vs organ-donor media</w:t>
            </w:r>
          </w:p>
        </w:tc>
        <w:tc>
          <w:tcPr>
            <w:tcW w:type="dxa" w:w="1045"/>
          </w:tcPr>
          <w:p>
            <w:r>
              <w:rPr>
                <w:sz w:val="16"/>
              </w:rPr>
              <w:t>RNA-seq (NextSeq 500)</w:t>
            </w:r>
          </w:p>
        </w:tc>
        <w:tc>
          <w:tcPr>
            <w:tcW w:type="dxa" w:w="1045"/>
          </w:tcPr>
          <w:p>
            <w:r>
              <w:rPr>
                <w:sz w:val="16"/>
              </w:rPr>
              <w:t>ATAA=6</w:t>
            </w:r>
          </w:p>
        </w:tc>
        <w:tc>
          <w:tcPr>
            <w:tcW w:type="dxa" w:w="1045"/>
          </w:tcPr>
          <w:p>
            <w:r>
              <w:rPr>
                <w:sz w:val="16"/>
              </w:rPr>
              <w:t>6</w:t>
            </w:r>
          </w:p>
        </w:tc>
        <w:tc>
          <w:tcPr>
            <w:tcW w:type="dxa" w:w="1045"/>
          </w:tcPr>
          <w:p>
            <w:r>
              <w:rPr>
                <w:sz w:val="16"/>
              </w:rPr>
              <w:t>DESeq2</w:t>
            </w:r>
          </w:p>
        </w:tc>
        <w:tc>
          <w:tcPr>
            <w:tcW w:type="dxa" w:w="1045"/>
          </w:tcPr>
          <w:p>
            <w:r>
              <w:rPr>
                <w:sz w:val="16"/>
              </w:rPr>
              <w:t>1186</w:t>
            </w:r>
          </w:p>
        </w:tc>
        <w:tc>
          <w:tcPr>
            <w:tcW w:type="dxa" w:w="1045"/>
          </w:tcPr>
          <w:p>
            <w:r>
              <w:rPr>
                <w:sz w:val="16"/>
              </w:rPr>
              <w:t>ATAA meta-analysis</w:t>
            </w:r>
          </w:p>
        </w:tc>
      </w:tr>
      <w:tr>
        <w:tc>
          <w:tcPr>
            <w:tcW w:type="dxa" w:w="1045"/>
          </w:tcPr>
          <w:p>
            <w:r>
              <w:rPr>
                <w:sz w:val="16"/>
              </w:rPr>
              <w:t>GSE235161</w:t>
            </w:r>
          </w:p>
        </w:tc>
        <w:tc>
          <w:tcPr>
            <w:tcW w:type="dxa" w:w="1045"/>
          </w:tcPr>
          <w:p>
            <w:r>
              <w:rPr>
                <w:sz w:val="16"/>
              </w:rPr>
              <w:t>ATAA</w:t>
            </w:r>
          </w:p>
        </w:tc>
        <w:tc>
          <w:tcPr>
            <w:tcW w:type="dxa" w:w="1045"/>
          </w:tcPr>
          <w:p>
            <w:r>
              <w:rPr>
                <w:sz w:val="16"/>
              </w:rPr>
              <w:t>Thoracic aortic aneurysm tissue (surgical) vs non-aneurysmal aorta (CABG/donor)</w:t>
            </w:r>
          </w:p>
        </w:tc>
        <w:tc>
          <w:tcPr>
            <w:tcW w:type="dxa" w:w="1045"/>
          </w:tcPr>
          <w:p>
            <w:r>
              <w:rPr>
                <w:sz w:val="16"/>
              </w:rPr>
              <w:t>RNA-seq (FPKM)</w:t>
            </w:r>
          </w:p>
        </w:tc>
        <w:tc>
          <w:tcPr>
            <w:tcW w:type="dxa" w:w="1045"/>
          </w:tcPr>
          <w:p>
            <w:r>
              <w:rPr>
                <w:sz w:val="16"/>
              </w:rPr>
              <w:t>ATAA=31</w:t>
            </w:r>
          </w:p>
        </w:tc>
        <w:tc>
          <w:tcPr>
            <w:tcW w:type="dxa" w:w="1045"/>
          </w:tcPr>
          <w:p>
            <w:r>
              <w:rPr>
                <w:sz w:val="16"/>
              </w:rPr>
              <w:t>11</w:t>
            </w:r>
          </w:p>
        </w:tc>
        <w:tc>
          <w:tcPr>
            <w:tcW w:type="dxa" w:w="1045"/>
          </w:tcPr>
          <w:p>
            <w:r>
              <w:rPr>
                <w:sz w:val="16"/>
              </w:rPr>
              <w:t>limma-trend</w:t>
            </w:r>
          </w:p>
        </w:tc>
        <w:tc>
          <w:tcPr>
            <w:tcW w:type="dxa" w:w="1045"/>
          </w:tcPr>
          <w:p>
            <w:r>
              <w:rPr>
                <w:sz w:val="16"/>
              </w:rPr>
              <w:t>7</w:t>
            </w:r>
          </w:p>
        </w:tc>
        <w:tc>
          <w:tcPr>
            <w:tcW w:type="dxa" w:w="1045"/>
          </w:tcPr>
          <w:p>
            <w:r>
              <w:rPr>
                <w:sz w:val="16"/>
              </w:rPr>
              <w:t>ATAA meta-analysis</w:t>
            </w:r>
          </w:p>
        </w:tc>
      </w:tr>
      <w:tr>
        <w:tc>
          <w:tcPr>
            <w:tcW w:type="dxa" w:w="1045"/>
          </w:tcPr>
          <w:p>
            <w:r>
              <w:rPr>
                <w:sz w:val="16"/>
              </w:rPr>
              <w:t>GSE202267</w:t>
            </w:r>
          </w:p>
        </w:tc>
        <w:tc>
          <w:tcPr>
            <w:tcW w:type="dxa" w:w="1045"/>
          </w:tcPr>
          <w:p>
            <w:r>
              <w:rPr>
                <w:sz w:val="16"/>
              </w:rPr>
              <w:t>ATAA</w:t>
            </w:r>
          </w:p>
        </w:tc>
        <w:tc>
          <w:tcPr>
            <w:tcW w:type="dxa" w:w="1045"/>
          </w:tcPr>
          <w:p>
            <w:r>
              <w:rPr>
                <w:sz w:val="16"/>
              </w:rPr>
              <w:t>Thoracic aortic aneurysm vs non-aneurysmal aorta (surgical controls)</w:t>
            </w:r>
          </w:p>
        </w:tc>
        <w:tc>
          <w:tcPr>
            <w:tcW w:type="dxa" w:w="1045"/>
          </w:tcPr>
          <w:p>
            <w:r>
              <w:rPr>
                <w:sz w:val="16"/>
              </w:rPr>
              <w:t>RNA-seq (counts)</w:t>
            </w:r>
          </w:p>
        </w:tc>
        <w:tc>
          <w:tcPr>
            <w:tcW w:type="dxa" w:w="1045"/>
          </w:tcPr>
          <w:p>
            <w:r>
              <w:rPr>
                <w:sz w:val="16"/>
              </w:rPr>
              <w:t>ATAA=4</w:t>
            </w:r>
          </w:p>
        </w:tc>
        <w:tc>
          <w:tcPr>
            <w:tcW w:type="dxa" w:w="1045"/>
          </w:tcPr>
          <w:p>
            <w:r>
              <w:rPr>
                <w:sz w:val="16"/>
              </w:rPr>
              <w:t>4</w:t>
            </w:r>
          </w:p>
        </w:tc>
        <w:tc>
          <w:tcPr>
            <w:tcW w:type="dxa" w:w="1045"/>
          </w:tcPr>
          <w:p>
            <w:r>
              <w:rPr>
                <w:sz w:val="16"/>
              </w:rPr>
              <w:t>DESeq2</w:t>
            </w:r>
          </w:p>
        </w:tc>
        <w:tc>
          <w:tcPr>
            <w:tcW w:type="dxa" w:w="1045"/>
          </w:tcPr>
          <w:p>
            <w:r>
              <w:rPr>
                <w:sz w:val="16"/>
              </w:rPr>
              <w:t>81</w:t>
            </w:r>
          </w:p>
        </w:tc>
        <w:tc>
          <w:tcPr>
            <w:tcW w:type="dxa" w:w="1045"/>
          </w:tcPr>
          <w:p>
            <w:r>
              <w:rPr>
                <w:sz w:val="16"/>
              </w:rPr>
              <w:t>ATAA meta-analysis</w:t>
            </w:r>
          </w:p>
        </w:tc>
      </w:tr>
      <w:tr>
        <w:tc>
          <w:tcPr>
            <w:tcW w:type="dxa" w:w="1045"/>
          </w:tcPr>
          <w:p>
            <w:r>
              <w:rPr>
                <w:sz w:val="16"/>
              </w:rPr>
              <w:t>GSE52093</w:t>
            </w:r>
          </w:p>
        </w:tc>
        <w:tc>
          <w:tcPr>
            <w:tcW w:type="dxa" w:w="1045"/>
          </w:tcPr>
          <w:p>
            <w:r>
              <w:rPr>
                <w:sz w:val="16"/>
              </w:rPr>
              <w:t>TAAD</w:t>
            </w:r>
          </w:p>
        </w:tc>
        <w:tc>
          <w:tcPr>
            <w:tcW w:type="dxa" w:w="1045"/>
          </w:tcPr>
          <w:p>
            <w:r>
              <w:rPr>
                <w:sz w:val="16"/>
              </w:rPr>
              <w:t>Acute Stanford type A dissection, ascending aorta vs normal ascending aorta</w:t>
            </w:r>
          </w:p>
        </w:tc>
        <w:tc>
          <w:tcPr>
            <w:tcW w:type="dxa" w:w="1045"/>
          </w:tcPr>
          <w:p>
            <w:r>
              <w:rPr>
                <w:sz w:val="16"/>
              </w:rPr>
              <w:t>Illumina HumanHT-12 V4</w:t>
            </w:r>
          </w:p>
        </w:tc>
        <w:tc>
          <w:tcPr>
            <w:tcW w:type="dxa" w:w="1045"/>
          </w:tcPr>
          <w:p>
            <w:r>
              <w:rPr>
                <w:sz w:val="16"/>
              </w:rPr>
              <w:t>TAAD=7</w:t>
            </w:r>
          </w:p>
        </w:tc>
        <w:tc>
          <w:tcPr>
            <w:tcW w:type="dxa" w:w="1045"/>
          </w:tcPr>
          <w:p>
            <w:r>
              <w:rPr>
                <w:sz w:val="16"/>
              </w:rPr>
              <w:t>5</w:t>
            </w:r>
          </w:p>
        </w:tc>
        <w:tc>
          <w:tcPr>
            <w:tcW w:type="dxa" w:w="1045"/>
          </w:tcPr>
          <w:p>
            <w:r>
              <w:rPr>
                <w:sz w:val="16"/>
              </w:rPr>
              <w:t>limma-trend</w:t>
            </w:r>
          </w:p>
        </w:tc>
        <w:tc>
          <w:tcPr>
            <w:tcW w:type="dxa" w:w="1045"/>
          </w:tcPr>
          <w:p>
            <w:r>
              <w:rPr>
                <w:sz w:val="16"/>
              </w:rPr>
              <w:t>1928</w:t>
            </w:r>
          </w:p>
        </w:tc>
        <w:tc>
          <w:tcPr>
            <w:tcW w:type="dxa" w:w="1045"/>
          </w:tcPr>
          <w:p>
            <w:r>
              <w:rPr>
                <w:sz w:val="16"/>
              </w:rPr>
              <w:t>TAAD meta-analysis</w:t>
            </w:r>
          </w:p>
        </w:tc>
      </w:tr>
      <w:tr>
        <w:tc>
          <w:tcPr>
            <w:tcW w:type="dxa" w:w="1045"/>
          </w:tcPr>
          <w:p>
            <w:r>
              <w:rPr>
                <w:sz w:val="16"/>
              </w:rPr>
              <w:t>GSE153434</w:t>
            </w:r>
          </w:p>
        </w:tc>
        <w:tc>
          <w:tcPr>
            <w:tcW w:type="dxa" w:w="1045"/>
          </w:tcPr>
          <w:p>
            <w:r>
              <w:rPr>
                <w:sz w:val="16"/>
              </w:rPr>
              <w:t>TAAD</w:t>
            </w:r>
          </w:p>
        </w:tc>
        <w:tc>
          <w:tcPr>
            <w:tcW w:type="dxa" w:w="1045"/>
          </w:tcPr>
          <w:p>
            <w:r>
              <w:rPr>
                <w:sz w:val="16"/>
              </w:rPr>
              <w:t>Acute type A dissection ascending aorta vs normal (heart-transplant donors)</w:t>
            </w:r>
          </w:p>
        </w:tc>
        <w:tc>
          <w:tcPr>
            <w:tcW w:type="dxa" w:w="1045"/>
          </w:tcPr>
          <w:p>
            <w:r>
              <w:rPr>
                <w:sz w:val="16"/>
              </w:rPr>
              <w:t>RNA-seq (HiSeq X Ten)</w:t>
            </w:r>
          </w:p>
        </w:tc>
        <w:tc>
          <w:tcPr>
            <w:tcW w:type="dxa" w:w="1045"/>
          </w:tcPr>
          <w:p>
            <w:r>
              <w:rPr>
                <w:sz w:val="16"/>
              </w:rPr>
              <w:t>TAAD=10</w:t>
            </w:r>
          </w:p>
        </w:tc>
        <w:tc>
          <w:tcPr>
            <w:tcW w:type="dxa" w:w="1045"/>
          </w:tcPr>
          <w:p>
            <w:r>
              <w:rPr>
                <w:sz w:val="16"/>
              </w:rPr>
              <w:t>10</w:t>
            </w:r>
          </w:p>
        </w:tc>
        <w:tc>
          <w:tcPr>
            <w:tcW w:type="dxa" w:w="1045"/>
          </w:tcPr>
          <w:p>
            <w:r>
              <w:rPr>
                <w:sz w:val="16"/>
              </w:rPr>
              <w:t>DESeq2</w:t>
            </w:r>
          </w:p>
        </w:tc>
        <w:tc>
          <w:tcPr>
            <w:tcW w:type="dxa" w:w="1045"/>
          </w:tcPr>
          <w:p>
            <w:r>
              <w:rPr>
                <w:sz w:val="16"/>
              </w:rPr>
              <w:t>3097</w:t>
            </w:r>
          </w:p>
        </w:tc>
        <w:tc>
          <w:tcPr>
            <w:tcW w:type="dxa" w:w="1045"/>
          </w:tcPr>
          <w:p>
            <w:r>
              <w:rPr>
                <w:sz w:val="16"/>
              </w:rPr>
              <w:t>TAAD meta-analysis</w:t>
            </w:r>
          </w:p>
        </w:tc>
      </w:tr>
      <w:tr>
        <w:tc>
          <w:tcPr>
            <w:tcW w:type="dxa" w:w="1045"/>
          </w:tcPr>
          <w:p>
            <w:r>
              <w:rPr>
                <w:sz w:val="16"/>
              </w:rPr>
              <w:t>GSE98770</w:t>
            </w:r>
          </w:p>
        </w:tc>
        <w:tc>
          <w:tcPr>
            <w:tcW w:type="dxa" w:w="1045"/>
          </w:tcPr>
          <w:p>
            <w:r>
              <w:rPr>
                <w:sz w:val="16"/>
              </w:rPr>
              <w:t>TAAD</w:t>
            </w:r>
          </w:p>
        </w:tc>
        <w:tc>
          <w:tcPr>
            <w:tcW w:type="dxa" w:w="1045"/>
          </w:tcPr>
          <w:p>
            <w:r>
              <w:rPr>
                <w:sz w:val="16"/>
              </w:rPr>
              <w:t>Acute type A dissection intima-media vs transplant-donor ascending aorta</w:t>
            </w:r>
          </w:p>
        </w:tc>
        <w:tc>
          <w:tcPr>
            <w:tcW w:type="dxa" w:w="1045"/>
          </w:tcPr>
          <w:p>
            <w:r>
              <w:rPr>
                <w:sz w:val="16"/>
              </w:rPr>
              <w:t>Agilent SurePrint G3 8x60K</w:t>
            </w:r>
          </w:p>
        </w:tc>
        <w:tc>
          <w:tcPr>
            <w:tcW w:type="dxa" w:w="1045"/>
          </w:tcPr>
          <w:p>
            <w:r>
              <w:rPr>
                <w:sz w:val="16"/>
              </w:rPr>
              <w:t>TAAD=6</w:t>
            </w:r>
          </w:p>
        </w:tc>
        <w:tc>
          <w:tcPr>
            <w:tcW w:type="dxa" w:w="1045"/>
          </w:tcPr>
          <w:p>
            <w:r>
              <w:rPr>
                <w:sz w:val="16"/>
              </w:rPr>
              <w:t>5</w:t>
            </w:r>
          </w:p>
        </w:tc>
        <w:tc>
          <w:tcPr>
            <w:tcW w:type="dxa" w:w="1045"/>
          </w:tcPr>
          <w:p>
            <w:r>
              <w:rPr>
                <w:sz w:val="16"/>
              </w:rPr>
              <w:t>limma-trend</w:t>
            </w:r>
          </w:p>
        </w:tc>
        <w:tc>
          <w:tcPr>
            <w:tcW w:type="dxa" w:w="1045"/>
          </w:tcPr>
          <w:p>
            <w:r>
              <w:rPr>
                <w:sz w:val="16"/>
              </w:rPr>
              <w:t>1323</w:t>
            </w:r>
          </w:p>
        </w:tc>
        <w:tc>
          <w:tcPr>
            <w:tcW w:type="dxa" w:w="1045"/>
          </w:tcPr>
          <w:p>
            <w:r>
              <w:rPr>
                <w:sz w:val="16"/>
              </w:rPr>
              <w:t>TAAD meta-analysis</w:t>
            </w:r>
          </w:p>
        </w:tc>
      </w:tr>
      <w:tr>
        <w:tc>
          <w:tcPr>
            <w:tcW w:type="dxa" w:w="1045"/>
          </w:tcPr>
          <w:p>
            <w:r>
              <w:rPr>
                <w:sz w:val="16"/>
              </w:rPr>
              <w:t>GSE294606</w:t>
            </w:r>
          </w:p>
        </w:tc>
        <w:tc>
          <w:tcPr>
            <w:tcW w:type="dxa" w:w="1045"/>
          </w:tcPr>
          <w:p>
            <w:r>
              <w:rPr>
                <w:sz w:val="16"/>
              </w:rPr>
              <w:t>TAAD</w:t>
            </w:r>
          </w:p>
        </w:tc>
        <w:tc>
          <w:tcPr>
            <w:tcW w:type="dxa" w:w="1045"/>
          </w:tcPr>
          <w:p>
            <w:r>
              <w:rPr>
                <w:sz w:val="16"/>
              </w:rPr>
              <w:t>Aortic dissection tissue vs control aorta</w:t>
            </w:r>
          </w:p>
        </w:tc>
        <w:tc>
          <w:tcPr>
            <w:tcW w:type="dxa" w:w="1045"/>
          </w:tcPr>
          <w:p>
            <w:r>
              <w:rPr>
                <w:sz w:val="16"/>
              </w:rPr>
              <w:t>RNA-seq (counts)</w:t>
            </w:r>
          </w:p>
        </w:tc>
        <w:tc>
          <w:tcPr>
            <w:tcW w:type="dxa" w:w="1045"/>
          </w:tcPr>
          <w:p>
            <w:r>
              <w:rPr>
                <w:sz w:val="16"/>
              </w:rPr>
              <w:t>TAAD=8</w:t>
            </w:r>
          </w:p>
        </w:tc>
        <w:tc>
          <w:tcPr>
            <w:tcW w:type="dxa" w:w="1045"/>
          </w:tcPr>
          <w:p>
            <w:r>
              <w:rPr>
                <w:sz w:val="16"/>
              </w:rPr>
              <w:t>5</w:t>
            </w:r>
          </w:p>
        </w:tc>
        <w:tc>
          <w:tcPr>
            <w:tcW w:type="dxa" w:w="1045"/>
          </w:tcPr>
          <w:p>
            <w:r>
              <w:rPr>
                <w:sz w:val="16"/>
              </w:rPr>
              <w:t>DESeq2</w:t>
            </w:r>
          </w:p>
        </w:tc>
        <w:tc>
          <w:tcPr>
            <w:tcW w:type="dxa" w:w="1045"/>
          </w:tcPr>
          <w:p>
            <w:r>
              <w:rPr>
                <w:sz w:val="16"/>
              </w:rPr>
              <w:t>1408</w:t>
            </w:r>
          </w:p>
        </w:tc>
        <w:tc>
          <w:tcPr>
            <w:tcW w:type="dxa" w:w="1045"/>
          </w:tcPr>
          <w:p>
            <w:r>
              <w:rPr>
                <w:sz w:val="16"/>
              </w:rPr>
              <w:t>TAAD meta-analysis</w:t>
            </w:r>
          </w:p>
        </w:tc>
      </w:tr>
      <w:tr>
        <w:tc>
          <w:tcPr>
            <w:tcW w:type="dxa" w:w="1045"/>
          </w:tcPr>
          <w:p>
            <w:r>
              <w:rPr>
                <w:sz w:val="16"/>
              </w:rPr>
              <w:t>GSE267434</w:t>
            </w:r>
          </w:p>
        </w:tc>
        <w:tc>
          <w:tcPr>
            <w:tcW w:type="dxa" w:w="1045"/>
          </w:tcPr>
          <w:p>
            <w:r>
              <w:rPr>
                <w:sz w:val="16"/>
              </w:rPr>
              <w:t>TAAD</w:t>
            </w:r>
          </w:p>
        </w:tc>
        <w:tc>
          <w:tcPr>
            <w:tcW w:type="dxa" w:w="1045"/>
          </w:tcPr>
          <w:p>
            <w:r>
              <w:rPr>
                <w:sz w:val="16"/>
              </w:rPr>
              <w:t>Dissected ascending aorta vs normal ascending aorta</w:t>
            </w:r>
          </w:p>
        </w:tc>
        <w:tc>
          <w:tcPr>
            <w:tcW w:type="dxa" w:w="1045"/>
          </w:tcPr>
          <w:p>
            <w:r>
              <w:rPr>
                <w:sz w:val="16"/>
              </w:rPr>
              <w:t>RNA-seq (FPKM)</w:t>
            </w:r>
          </w:p>
        </w:tc>
        <w:tc>
          <w:tcPr>
            <w:tcW w:type="dxa" w:w="1045"/>
          </w:tcPr>
          <w:p>
            <w:r>
              <w:rPr>
                <w:sz w:val="16"/>
              </w:rPr>
              <w:t>TAAD=6</w:t>
            </w:r>
          </w:p>
        </w:tc>
        <w:tc>
          <w:tcPr>
            <w:tcW w:type="dxa" w:w="1045"/>
          </w:tcPr>
          <w:p>
            <w:r>
              <w:rPr>
                <w:sz w:val="16"/>
              </w:rPr>
              <w:t>6</w:t>
            </w:r>
          </w:p>
        </w:tc>
        <w:tc>
          <w:tcPr>
            <w:tcW w:type="dxa" w:w="1045"/>
          </w:tcPr>
          <w:p>
            <w:r>
              <w:rPr>
                <w:sz w:val="16"/>
              </w:rPr>
              <w:t>limma-trend</w:t>
            </w:r>
          </w:p>
        </w:tc>
        <w:tc>
          <w:tcPr>
            <w:tcW w:type="dxa" w:w="1045"/>
          </w:tcPr>
          <w:p>
            <w:r>
              <w:rPr>
                <w:sz w:val="16"/>
              </w:rPr>
              <w:t>1051</w:t>
            </w:r>
          </w:p>
        </w:tc>
        <w:tc>
          <w:tcPr>
            <w:tcW w:type="dxa" w:w="1045"/>
          </w:tcPr>
          <w:p>
            <w:r>
              <w:rPr>
                <w:sz w:val="16"/>
              </w:rPr>
              <w:t>TAAD meta-analysis</w:t>
            </w:r>
          </w:p>
        </w:tc>
      </w:tr>
      <w:tr>
        <w:tc>
          <w:tcPr>
            <w:tcW w:type="dxa" w:w="1045"/>
          </w:tcPr>
          <w:p>
            <w:r>
              <w:rPr>
                <w:sz w:val="16"/>
              </w:rPr>
              <w:t>GSE147026</w:t>
            </w:r>
          </w:p>
        </w:tc>
        <w:tc>
          <w:tcPr>
            <w:tcW w:type="dxa" w:w="1045"/>
          </w:tcPr>
          <w:p>
            <w:r>
              <w:rPr>
                <w:sz w:val="16"/>
              </w:rPr>
              <w:t>TAAD</w:t>
            </w:r>
          </w:p>
        </w:tc>
        <w:tc>
          <w:tcPr>
            <w:tcW w:type="dxa" w:w="1045"/>
          </w:tcPr>
          <w:p>
            <w:r>
              <w:rPr>
                <w:sz w:val="16"/>
              </w:rPr>
              <w:t>Acute dissection aortic media vs control media</w:t>
            </w:r>
          </w:p>
        </w:tc>
        <w:tc>
          <w:tcPr>
            <w:tcW w:type="dxa" w:w="1045"/>
          </w:tcPr>
          <w:p>
            <w:r>
              <w:rPr>
                <w:sz w:val="16"/>
              </w:rPr>
              <w:t>RNA-seq</w:t>
            </w:r>
          </w:p>
        </w:tc>
        <w:tc>
          <w:tcPr>
            <w:tcW w:type="dxa" w:w="1045"/>
          </w:tcPr>
          <w:p>
            <w:r>
              <w:rPr>
                <w:sz w:val="16"/>
              </w:rPr>
              <w:t>TAAD=4</w:t>
            </w:r>
          </w:p>
        </w:tc>
        <w:tc>
          <w:tcPr>
            <w:tcW w:type="dxa" w:w="1045"/>
          </w:tcPr>
          <w:p>
            <w:r>
              <w:rPr>
                <w:sz w:val="16"/>
              </w:rPr>
              <w:t>4</w:t>
            </w:r>
          </w:p>
        </w:tc>
        <w:tc>
          <w:tcPr>
            <w:tcW w:type="dxa" w:w="1045"/>
          </w:tcPr>
          <w:p>
            <w:r>
              <w:rPr>
                <w:sz w:val="16"/>
              </w:rPr>
              <w:t>limma-trend</w:t>
            </w:r>
          </w:p>
        </w:tc>
        <w:tc>
          <w:tcPr>
            <w:tcW w:type="dxa" w:w="1045"/>
          </w:tcPr>
          <w:p>
            <w:r>
              <w:rPr>
                <w:sz w:val="16"/>
              </w:rPr>
              <w:t>1161</w:t>
            </w:r>
          </w:p>
        </w:tc>
        <w:tc>
          <w:tcPr>
            <w:tcW w:type="dxa" w:w="1045"/>
          </w:tcPr>
          <w:p>
            <w:r>
              <w:rPr>
                <w:sz w:val="16"/>
              </w:rPr>
              <w:t>TAAD meta-analysis</w:t>
            </w:r>
          </w:p>
        </w:tc>
      </w:tr>
      <w:tr>
        <w:tc>
          <w:tcPr>
            <w:tcW w:type="dxa" w:w="1045"/>
          </w:tcPr>
          <w:p>
            <w:r>
              <w:rPr>
                <w:sz w:val="16"/>
              </w:rPr>
              <w:t>GSE190635</w:t>
            </w:r>
          </w:p>
        </w:tc>
        <w:tc>
          <w:tcPr>
            <w:tcW w:type="dxa" w:w="1045"/>
          </w:tcPr>
          <w:p>
            <w:r>
              <w:rPr>
                <w:sz w:val="16"/>
              </w:rPr>
              <w:t>TAAD</w:t>
            </w:r>
          </w:p>
        </w:tc>
        <w:tc>
          <w:tcPr>
            <w:tcW w:type="dxa" w:w="1045"/>
          </w:tcPr>
          <w:p>
            <w:r>
              <w:rPr>
                <w:sz w:val="16"/>
              </w:rPr>
              <w:t>Aortic dissection vs healthy control aorta (excluded: label inconsistency)</w:t>
            </w:r>
          </w:p>
        </w:tc>
        <w:tc>
          <w:tcPr>
            <w:tcW w:type="dxa" w:w="1045"/>
          </w:tcPr>
          <w:p>
            <w:r>
              <w:rPr>
                <w:sz w:val="16"/>
              </w:rPr>
              <w:t>Affymetrix HG-U133 Plus 2.0</w:t>
            </w:r>
          </w:p>
        </w:tc>
        <w:tc>
          <w:tcPr>
            <w:tcW w:type="dxa" w:w="1045"/>
          </w:tcPr>
          <w:p>
            <w:r>
              <w:rPr>
                <w:sz w:val="16"/>
              </w:rPr>
              <w:t>TAAD=4</w:t>
            </w:r>
          </w:p>
        </w:tc>
        <w:tc>
          <w:tcPr>
            <w:tcW w:type="dxa" w:w="1045"/>
          </w:tcPr>
          <w:p>
            <w:r>
              <w:rPr>
                <w:sz w:val="16"/>
              </w:rPr>
              <w:t>4</w:t>
            </w:r>
          </w:p>
        </w:tc>
        <w:tc>
          <w:tcPr>
            <w:tcW w:type="dxa" w:w="1045"/>
          </w:tcPr>
          <w:p>
            <w:r>
              <w:rPr>
                <w:sz w:val="16"/>
              </w:rPr>
              <w:t>limma-trend</w:t>
            </w:r>
          </w:p>
        </w:tc>
        <w:tc>
          <w:tcPr>
            <w:tcW w:type="dxa" w:w="1045"/>
          </w:tcPr>
          <w:p>
            <w:r>
              <w:rPr>
                <w:sz w:val="16"/>
              </w:rPr>
              <w:t>0</w:t>
            </w:r>
          </w:p>
        </w:tc>
        <w:tc>
          <w:tcPr>
            <w:tcW w:type="dxa" w:w="1045"/>
          </w:tcPr>
          <w:p>
            <w:r>
              <w:rPr>
                <w:sz w:val="16"/>
              </w:rPr>
              <w:t>excluded (QC)</w:t>
            </w:r>
          </w:p>
        </w:tc>
      </w:tr>
      <w:tr>
        <w:tc>
          <w:tcPr>
            <w:tcW w:type="dxa" w:w="1045"/>
          </w:tcPr>
          <w:p>
            <w:r>
              <w:rPr>
                <w:sz w:val="16"/>
              </w:rPr>
              <w:t>GSE318877</w:t>
            </w:r>
          </w:p>
        </w:tc>
        <w:tc>
          <w:tcPr>
            <w:tcW w:type="dxa" w:w="1045"/>
          </w:tcPr>
          <w:p>
            <w:r>
              <w:rPr>
                <w:sz w:val="16"/>
              </w:rPr>
              <w:t>ATAA_vs_TAAD</w:t>
            </w:r>
          </w:p>
        </w:tc>
        <w:tc>
          <w:tcPr>
            <w:tcW w:type="dxa" w:w="1045"/>
          </w:tcPr>
          <w:p>
            <w:r>
              <w:rPr>
                <w:sz w:val="16"/>
              </w:rPr>
              <w:t>Micro-regional (100 um) punches of ascending aortic media; dissection (3 pts) vs dilatation (4 pts); 70 punches</w:t>
            </w:r>
          </w:p>
        </w:tc>
        <w:tc>
          <w:tcPr>
            <w:tcW w:type="dxa" w:w="1045"/>
          </w:tcPr>
          <w:p>
            <w:r>
              <w:rPr>
                <w:sz w:val="16"/>
              </w:rPr>
              <w:t>Micro-regional RNA-seq</w:t>
            </w:r>
          </w:p>
        </w:tc>
        <w:tc>
          <w:tcPr>
            <w:tcW w:type="dxa" w:w="1045"/>
          </w:tcPr>
          <w:p>
            <w:r>
              <w:rPr>
                <w:sz w:val="16"/>
              </w:rPr>
              <w:t>TAAD=3 subjects (34 punches)</w:t>
            </w:r>
          </w:p>
        </w:tc>
        <w:tc>
          <w:tcPr>
            <w:tcW w:type="dxa" w:w="1045"/>
          </w:tcPr>
          <w:p>
            <w:r>
              <w:rPr>
                <w:sz w:val="16"/>
              </w:rPr>
              <w:t>ATAA=4 subjects (36 punches)</w:t>
            </w:r>
          </w:p>
        </w:tc>
        <w:tc>
          <w:tcPr>
            <w:tcW w:type="dxa" w:w="1045"/>
          </w:tcPr>
          <w:p>
            <w:r>
              <w:rPr>
                <w:sz w:val="16"/>
              </w:rPr>
              <w:t>DESeq2</w:t>
            </w:r>
          </w:p>
        </w:tc>
        <w:tc>
          <w:tcPr>
            <w:tcW w:type="dxa" w:w="1045"/>
          </w:tcPr>
          <w:p>
            <w:r>
              <w:rPr>
                <w:sz w:val="16"/>
              </w:rPr>
              <w:t>486</w:t>
            </w:r>
          </w:p>
        </w:tc>
        <w:tc>
          <w:tcPr>
            <w:tcW w:type="dxa" w:w="1045"/>
          </w:tcPr>
          <w:p>
            <w:r>
              <w:rPr>
                <w:sz w:val="16"/>
              </w:rPr>
              <w:t>direct TAAD-vs-ATAA contrast</w:t>
            </w:r>
          </w:p>
        </w:tc>
      </w:tr>
      <w:tr>
        <w:tc>
          <w:tcPr>
            <w:tcW w:type="dxa" w:w="1045"/>
          </w:tcPr>
          <w:p>
            <w:r>
              <w:rPr>
                <w:sz w:val="16"/>
              </w:rPr>
              <w:t>GSE155468</w:t>
            </w:r>
          </w:p>
        </w:tc>
        <w:tc>
          <w:tcPr>
            <w:tcW w:type="dxa" w:w="1045"/>
          </w:tcPr>
          <w:p>
            <w:r>
              <w:rPr>
                <w:sz w:val="16"/>
              </w:rPr>
              <w:t>ATAA</w:t>
            </w:r>
          </w:p>
        </w:tc>
        <w:tc>
          <w:tcPr>
            <w:tcW w:type="dxa" w:w="1045"/>
          </w:tcPr>
          <w:p>
            <w:r>
              <w:rPr>
                <w:sz w:val="16"/>
              </w:rPr>
              <w:t>scRNA-seq of ascending aorta: 8 ATAA vs 3 controls</w:t>
            </w:r>
          </w:p>
        </w:tc>
        <w:tc>
          <w:tcPr>
            <w:tcW w:type="dxa" w:w="1045"/>
          </w:tcPr>
          <w:p>
            <w:r>
              <w:rPr>
                <w:sz w:val="16"/>
              </w:rPr>
              <w:t>10x Genomics</w:t>
            </w:r>
          </w:p>
        </w:tc>
        <w:tc>
          <w:tcPr>
            <w:tcW w:type="dxa" w:w="1045"/>
          </w:tcPr>
          <w:p>
            <w:r>
              <w:rPr>
                <w:sz w:val="16"/>
              </w:rPr>
              <w:t>ATAA=8</w:t>
            </w:r>
          </w:p>
        </w:tc>
        <w:tc>
          <w:tcPr>
            <w:tcW w:type="dxa" w:w="1045"/>
          </w:tcPr>
          <w:p>
            <w:r>
              <w:rPr>
                <w:sz w:val="16"/>
              </w:rPr>
              <w:t>3</w:t>
            </w:r>
          </w:p>
        </w:tc>
        <w:tc>
          <w:tcPr>
            <w:tcW w:type="dxa" w:w="1045"/>
          </w:tcPr>
          <w:p>
            <w:r>
              <w:rPr>
                <w:sz w:val="16"/>
              </w:rPr>
              <w:t>pseudo-bulk limma</w:t>
            </w:r>
          </w:p>
        </w:tc>
        <w:tc>
          <w:tcPr>
            <w:tcW w:type="dxa" w:w="1045"/>
          </w:tcPr>
          <w:p>
            <w:r>
              <w:rPr>
                <w:sz w:val="16"/>
              </w:rPr>
              <w:t>-</w:t>
            </w:r>
          </w:p>
        </w:tc>
        <w:tc>
          <w:tcPr>
            <w:tcW w:type="dxa" w:w="1045"/>
          </w:tcPr>
          <w:p>
            <w:r>
              <w:rPr>
                <w:sz w:val="16"/>
              </w:rPr>
              <w:t>single-cell validation</w:t>
            </w:r>
          </w:p>
        </w:tc>
      </w:tr>
      <w:tr>
        <w:tc>
          <w:tcPr>
            <w:tcW w:type="dxa" w:w="1045"/>
          </w:tcPr>
          <w:p>
            <w:r>
              <w:rPr>
                <w:sz w:val="16"/>
              </w:rPr>
              <w:t>GSE213740</w:t>
            </w:r>
          </w:p>
        </w:tc>
        <w:tc>
          <w:tcPr>
            <w:tcW w:type="dxa" w:w="1045"/>
          </w:tcPr>
          <w:p>
            <w:r>
              <w:rPr>
                <w:sz w:val="16"/>
              </w:rPr>
              <w:t>TAAD</w:t>
            </w:r>
          </w:p>
        </w:tc>
        <w:tc>
          <w:tcPr>
            <w:tcW w:type="dxa" w:w="1045"/>
          </w:tcPr>
          <w:p>
            <w:r>
              <w:rPr>
                <w:sz w:val="16"/>
              </w:rPr>
              <w:t>scRNA-seq of ascending aortic wall: 6 sporadic type A dissection vs 3 donors</w:t>
            </w:r>
          </w:p>
        </w:tc>
        <w:tc>
          <w:tcPr>
            <w:tcW w:type="dxa" w:w="1045"/>
          </w:tcPr>
          <w:p>
            <w:r>
              <w:rPr>
                <w:sz w:val="16"/>
              </w:rPr>
              <w:t>10x Genomics</w:t>
            </w:r>
          </w:p>
        </w:tc>
        <w:tc>
          <w:tcPr>
            <w:tcW w:type="dxa" w:w="1045"/>
          </w:tcPr>
          <w:p>
            <w:r>
              <w:rPr>
                <w:sz w:val="16"/>
              </w:rPr>
              <w:t>TAAD=6</w:t>
            </w:r>
          </w:p>
        </w:tc>
        <w:tc>
          <w:tcPr>
            <w:tcW w:type="dxa" w:w="1045"/>
          </w:tcPr>
          <w:p>
            <w:r>
              <w:rPr>
                <w:sz w:val="16"/>
              </w:rPr>
              <w:t>3</w:t>
            </w:r>
          </w:p>
        </w:tc>
        <w:tc>
          <w:tcPr>
            <w:tcW w:type="dxa" w:w="1045"/>
          </w:tcPr>
          <w:p>
            <w:r>
              <w:rPr>
                <w:sz w:val="16"/>
              </w:rPr>
              <w:t>pseudo-bulk limma</w:t>
            </w:r>
          </w:p>
        </w:tc>
        <w:tc>
          <w:tcPr>
            <w:tcW w:type="dxa" w:w="1045"/>
          </w:tcPr>
          <w:p>
            <w:r>
              <w:rPr>
                <w:sz w:val="16"/>
              </w:rPr>
              <w:t>-</w:t>
            </w:r>
          </w:p>
        </w:tc>
        <w:tc>
          <w:tcPr>
            <w:tcW w:type="dxa" w:w="1045"/>
          </w:tcPr>
          <w:p>
            <w:r>
              <w:rPr>
                <w:sz w:val="16"/>
              </w:rPr>
              <w:t>single-cell validation</w:t>
            </w:r>
          </w:p>
        </w:tc>
      </w:tr>
    </w:tbl>
    <w:p>
      <w:pPr>
        <w:pStyle w:val="Heading1"/>
      </w:pPr>
      <w:r>
        <w:t>附加文件</w:t>
      </w:r>
    </w:p>
    <w:p>
      <w:r>
        <w:t>附加文件 1：GEO 检索策略与筛选。附加文件 2：分析代码（scripts/）。附加文件 3：各队列 QC（PCA、火山图）与差异表达表。附加文件 4：单细胞图谱注释、标志基因集与 ssGSEA 验证。附加文件 5：meta 分析表与 LOCO 稳健性。附加文件 6：ATAA vs TAAD 基因分类及直接比较验证。附加文件 7：GSEA 结果（各队列与 meta 排序）及通路分类。附加文件 8：基因类别的富集分析。附加文件 9：STRING 网络与枢纽统计。附加文件 10：签名评分与 LOCO 分类器结果。</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