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Microsoft YaHei" w:hAnsi="Microsoft YaHei" w:eastAsia="Microsoft YaHei"/>
          <w:b/>
          <w:color w:val="0B2545"/>
          <w:sz w:val="52"/>
        </w:rPr>
        <w:t>通用自定义设备接入平台</w:t>
      </w:r>
    </w:p>
    <w:p>
      <w:pPr>
        <w:spacing w:after="320"/>
      </w:pPr>
      <w:r>
        <w:rPr>
          <w:rFonts w:ascii="Microsoft YaHei" w:hAnsi="Microsoft YaHei" w:eastAsia="Microsoft YaHei"/>
          <w:color w:val="5A6978"/>
          <w:sz w:val="26"/>
        </w:rPr>
        <w:t>面向任意厂商、任意硬件、任意主流协议的发现、适配、安全控制与状态同步技术白皮书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c>
          <w:tcPr>
            <w:tcW w:type="dxa" w:w="24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定位</w:t>
            </w:r>
          </w:p>
        </w:tc>
        <w:tc>
          <w:tcPr>
            <w:tcW w:type="dxa" w:w="69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通用技术架构与实施规范，不绑定某个品牌、型号或单一项目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目标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让新设备通过适配器、桥接器或标准协议接入统一控制平面</w:t>
            </w:r>
          </w:p>
        </w:tc>
      </w:tr>
      <w:tr>
        <w:tc>
          <w:tcPr>
            <w:tcW w:type="dxa" w:w="24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核心原则</w:t>
            </w:r>
          </w:p>
        </w:tc>
        <w:tc>
          <w:tcPr>
            <w:tcW w:type="dxa" w:w="69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真实发现、能力声明、最小权限、可验证状态、失败不伪造成功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适用范围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家庭物联网、楼宇控制、实验室、工厂边缘网关和移动端控制台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先明确：什么叫“任何设备都能接入”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“任何设备”不是无条件猜测未知协议，而是平台提供统一的设备契约、协议适配器和开发套件。只要设备满足下列任一条件，就可以纳入同一套控制模型：设备公开标准协议；设备提供可调用的厂商 API；设备可以通过串口、GPIO、RS-485、CAN 或无线桥接器访问；厂商愿意提供驱动或设备描述文件。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平台绝不把未联网、未认证、未声明能力的设备显示成已接入，也不把一个设备的能力臆测成另一个设备的能力。无法验证时状态必须是“未发现 / 离线 / 未认证 / 能力未知”，而不是成功。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900"/>
        <w:gridCol w:w="27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设备条件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平台处理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是否可以控制</w:t>
            </w:r>
          </w:p>
        </w:tc>
      </w:tr>
      <w:tr>
        <w:tc>
          <w:tcPr>
            <w:tcW w:type="dxa" w:w="27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标准协议可发现且状态接口可读</w:t>
            </w:r>
          </w:p>
        </w:tc>
        <w:tc>
          <w:tcPr>
            <w:tcW w:type="dxa" w:w="39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自动识别协议、读取能力、生成候选设备</w:t>
            </w:r>
          </w:p>
        </w:tc>
        <w:tc>
          <w:tcPr>
            <w:tcW w:type="dxa" w:w="27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通过安全策略和用户确认后可控制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厂商 API 可访问但无标准发现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用户输入或扫描得到地址，使用厂商适配器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适配器声明哪些动作可用后控制</w:t>
            </w:r>
          </w:p>
        </w:tc>
      </w:tr>
      <w:tr>
        <w:tc>
          <w:tcPr>
            <w:tcW w:type="dxa" w:w="27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只有串口 / GPIO / RS-485</w:t>
            </w:r>
          </w:p>
        </w:tc>
        <w:tc>
          <w:tcPr>
            <w:tcW w:type="dxa" w:w="39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接入边缘桥接器，由桥接器转换为统一协议</w:t>
            </w:r>
          </w:p>
        </w:tc>
        <w:tc>
          <w:tcPr>
            <w:tcW w:type="dxa" w:w="27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桥接器在线且动作有回读时可控制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设备未联网或协议未知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记录扫描失败原因，不创建假设备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不可控制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总体架构：发现层、能力层、执行层分离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建议采用六层架构。每层只承担一种责任，避免把厂商细节写进前端页面或 AI 提示词。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700"/>
        <w:gridCol w:w="27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层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职责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关键输出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设备与网络层</w:t>
            </w:r>
          </w:p>
        </w:tc>
        <w:tc>
          <w:tcPr>
            <w:tcW w:type="dxa" w:w="47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Wi-Fi、以太网、BLE、Zigbee、Thread、RS-485、CAN、串口等真实连接</w:t>
            </w:r>
          </w:p>
        </w:tc>
        <w:tc>
          <w:tcPr>
            <w:tcW w:type="dxa" w:w="27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端点、链路质量、在线心跳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发现与配网层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扫描、配对、二维码、用户输入、厂商云或本地目录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设备候选、认证材料、发现证据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协议适配层</w:t>
            </w:r>
          </w:p>
        </w:tc>
        <w:tc>
          <w:tcPr>
            <w:tcW w:type="dxa" w:w="47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把 HTTP、MQTT、Matter、Modbus 等转换成统一调用</w:t>
            </w:r>
          </w:p>
        </w:tc>
        <w:tc>
          <w:tcPr>
            <w:tcW w:type="dxa" w:w="27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Adapter、连接会话、错误码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能力模型层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描述开关、温度、亮度、锁、视频、能源等属性和动作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能力声明、参数约束、事件类型</w:t>
            </w:r>
          </w:p>
        </w:tc>
      </w:tr>
      <w:tr>
        <w:tc>
          <w:tcPr>
            <w:tcW w:type="dxa" w:w="19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控制与状态层</w:t>
            </w:r>
          </w:p>
        </w:tc>
        <w:tc>
          <w:tcPr>
            <w:tcW w:type="dxa" w:w="47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命令幂等、重试、回读、期望状态与实际状态对账</w:t>
            </w:r>
          </w:p>
        </w:tc>
        <w:tc>
          <w:tcPr>
            <w:tcW w:type="dxa" w:w="27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命令结果、状态快照、事件流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应用与智能层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前端、自动化、AI、日志、审计和第三方接口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统一设备卡片、计划和告警</w:t>
            </w:r>
          </w:p>
        </w:tc>
      </w:tr>
    </w:tbl>
    <w:p>
      <w:pPr>
        <w:spacing w:after="20"/>
      </w:pPr>
    </w:p>
    <w:p>
      <w:pPr>
        <w:spacing w:before="60" w:after="160" w:line="264" w:lineRule="auto"/>
        <w:ind w:left="288" w:right="288"/>
      </w:pPr>
      <w:r>
        <w:rPr>
          <w:rFonts w:ascii="Consolas" w:hAnsi="Consolas" w:eastAsia="Consolas"/>
          <w:color w:val="0B2545"/>
          <w:sz w:val="19"/>
        </w:rPr>
        <w:t>设备 -&gt; 发现证据 -&gt; Adapter -&gt; Capability -&gt; Command -&gt; 回读状态</w:t>
        <w:br/>
        <w:t xml:space="preserve">                         \-&gt; Event / Audit / Context / UI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前端只依赖 Capability 和状态快照；自动化只依赖事件和动作；协议差异全部封装在 Adapter 内。这是实现可扩展性的关键。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设备发现：不是固定动画，而是可验证的多策略探测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3.1 局域网发现策略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发现方式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适合设备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验证动作</w:t>
            </w:r>
          </w:p>
        </w:tc>
      </w:tr>
      <w:tr>
        <w:tc>
          <w:tcPr>
            <w:tcW w:type="dxa" w:w="21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mDNS / DNS-SD</w:t>
            </w:r>
          </w:p>
        </w:tc>
        <w:tc>
          <w:tcPr>
            <w:tcW w:type="dxa" w:w="30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局域网服务、打印机、摄像头、开发板</w:t>
            </w:r>
          </w:p>
        </w:tc>
        <w:tc>
          <w:tcPr>
            <w:tcW w:type="dxa" w:w="42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读取服务类型、TXT 能力、设备 ID，再请求健康接口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SSDP / UPnP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家电、媒体设备、路由器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解析 LOCATION，校验设备描述和序列号</w:t>
            </w:r>
          </w:p>
        </w:tc>
      </w:tr>
      <w:tr>
        <w:tc>
          <w:tcPr>
            <w:tcW w:type="dxa" w:w="21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Matter / Thread</w:t>
            </w:r>
          </w:p>
        </w:tc>
        <w:tc>
          <w:tcPr>
            <w:tcW w:type="dxa" w:w="30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新一代智能家居设备</w:t>
            </w:r>
          </w:p>
        </w:tc>
        <w:tc>
          <w:tcPr>
            <w:tcW w:type="dxa" w:w="42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配对码、证书链、Fabric 归属和集群能力读取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厂商局域网目录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没有标准广播的厂商设备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通过主控或用户提供的目录地址读取真实在线设备</w:t>
            </w:r>
          </w:p>
        </w:tc>
      </w:tr>
      <w:tr>
        <w:tc>
          <w:tcPr>
            <w:tcW w:type="dxa" w:w="21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定向地址探测</w:t>
            </w:r>
          </w:p>
        </w:tc>
        <w:tc>
          <w:tcPr>
            <w:tcW w:type="dxa" w:w="30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用户已知 IP、域名或端口</w:t>
            </w:r>
          </w:p>
        </w:tc>
        <w:tc>
          <w:tcPr>
            <w:tcW w:type="dxa" w:w="42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只探测允许的地址和端口，读取协议握手和状态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3.2 非局域网和物理总线发现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BLE：扫描广播 UUID，连接后读取 GATT 服务、特征值、加密状态和设备序列号。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Zigbee / Thread / Z-Wave：通过协调器获取节点、端点、Cluster 或 Command Class，再映射能力。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RS-485 / Modbus：先识别总线配置，再按允许的站号范围读取设备标识和寄存器，不做无限枚举。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串口 / CAN / GPIO：由受控边缘桥接器提供设备描述和读回接口，主控不直接猜帧格式。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3.3 发现结果的真实性证据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500"/>
        <w:gridCol w:w="23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证据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用途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缺失时</w:t>
            </w:r>
          </w:p>
        </w:tc>
      </w:tr>
      <w:tr>
        <w:tc>
          <w:tcPr>
            <w:tcW w:type="dxa" w:w="25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在线握手成功</w:t>
            </w:r>
          </w:p>
        </w:tc>
        <w:tc>
          <w:tcPr>
            <w:tcW w:type="dxa" w:w="45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证明地址和协议入口可达</w:t>
            </w:r>
          </w:p>
        </w:tc>
        <w:tc>
          <w:tcPr>
            <w:tcW w:type="dxa" w:w="23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标记未发现或离线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设备唯一标识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防止重复注册和冒充</w:t>
            </w:r>
          </w:p>
        </w:tc>
        <w:tc>
          <w:tcPr>
            <w:tcW w:type="dxa" w:w="2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只能保留候选，不可正式注册</w:t>
            </w:r>
          </w:p>
        </w:tc>
      </w:tr>
      <w:tr>
        <w:tc>
          <w:tcPr>
            <w:tcW w:type="dxa" w:w="25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能力描述或读回状态</w:t>
            </w:r>
          </w:p>
        </w:tc>
        <w:tc>
          <w:tcPr>
            <w:tcW w:type="dxa" w:w="45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证明动作确实由设备支持</w:t>
            </w:r>
          </w:p>
        </w:tc>
        <w:tc>
          <w:tcPr>
            <w:tcW w:type="dxa" w:w="23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能力为未知，不允许自动执行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认证 / 配对结果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证明控制权限属于主控</w:t>
            </w:r>
          </w:p>
        </w:tc>
        <w:tc>
          <w:tcPr>
            <w:tcW w:type="dxa" w:w="2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只读或拒绝控制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统一能力模型：让不同设备变成同一种可理解对象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不要用设备名称猜功能。每个设备必须发布一份能力描述，包含属性、动作、事件、参数范围、单位、读写权限和回读方式。一个空调可以同时有 power、mode、temperature、fan_speed；一个门锁可以有 locked、open、alarm 和 unlock 动作。</w:t>
      </w:r>
    </w:p>
    <w:p>
      <w:pPr>
        <w:spacing w:before="60" w:after="160" w:line="264" w:lineRule="auto"/>
        <w:ind w:left="288" w:right="288"/>
      </w:pPr>
      <w:r>
        <w:rPr>
          <w:rFonts w:ascii="Consolas" w:hAnsi="Consolas" w:eastAsia="Consolas"/>
          <w:color w:val="0B2545"/>
          <w:sz w:val="19"/>
        </w:rPr>
        <w:t>{</w:t>
        <w:br/>
        <w:t xml:space="preserve">  "device_id": "vendor-serial-001",</w:t>
        <w:br/>
        <w:t xml:space="preserve">  "identity": {"vendor": "示例厂商", "model": "X1", "serial": "..."},</w:t>
        <w:br/>
        <w:t xml:space="preserve">  "transport": {"protocol": "mqtt", "endpoint": "内部保存", "security": "mTLS"},</w:t>
        <w:br/>
        <w:t xml:space="preserve">  "properties": [</w:t>
        <w:br/>
        <w:t xml:space="preserve">    {"name": "temperature", "type": "number", "unit": "°C", "read": true},</w:t>
        <w:br/>
        <w:t xml:space="preserve">    {"name": "power", "type": "boolean", "read": true, "write": true}</w:t>
        <w:br/>
        <w:t xml:space="preserve">  ],</w:t>
        <w:br/>
        <w:t xml:space="preserve">  "actions": [</w:t>
        <w:br/>
        <w:t xml:space="preserve">    {"name": "set_power", "params": {"on": "boolean"}, "idempotent": true}</w:t>
        <w:br/>
        <w:t xml:space="preserve">  ],</w:t>
        <w:br/>
        <w:t xml:space="preserve">  "events": ["state_changed", "fault"]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能力字段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必须说明</w:t>
            </w:r>
          </w:p>
        </w:tc>
      </w:tr>
      <w:tr>
        <w:tc>
          <w:tcPr>
            <w:tcW w:type="dxa" w:w="22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property</w:t>
            </w:r>
          </w:p>
        </w:tc>
        <w:tc>
          <w:tcPr>
            <w:tcW w:type="dxa" w:w="71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当前值、数据类型、单位、精度、读写权限、更新时间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action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动作名、必选参数、范围、幂等性、超时、回读要求</w:t>
            </w:r>
          </w:p>
        </w:tc>
      </w:tr>
      <w:tr>
        <w:tc>
          <w:tcPr>
            <w:tcW w:type="dxa" w:w="22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event</w:t>
            </w:r>
          </w:p>
        </w:tc>
        <w:tc>
          <w:tcPr>
            <w:tcW w:type="dxa" w:w="71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事件名称、来源、时间戳、去重键、严重级别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fault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错误码、可恢复性、重试建议、用户可见文案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协议适配器：一次实现，所有页面和智能能力复用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5.1 适配器生命周期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声明 adapter_id、支持的协议、设备类型过滤器和版本范围。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执行 discover / identify，返回真实设备身份和发现证据。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执行 describe，返回能力模型；未知能力不进入可执行列表。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创建安全连接会话，保存令牌引用而不是把密钥写进设备记录。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实现 read_state、invoke、subscribe_events 和 close。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报告健康状态、延迟、重试次数和最后一次成功回读时间。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5.2 适配器最小接口</w:t>
      </w:r>
    </w:p>
    <w:p>
      <w:pPr>
        <w:spacing w:before="60" w:after="160" w:line="264" w:lineRule="auto"/>
        <w:ind w:left="288" w:right="288"/>
      </w:pPr>
      <w:r>
        <w:rPr>
          <w:rFonts w:ascii="Consolas" w:hAnsi="Consolas" w:eastAsia="Consolas"/>
          <w:color w:val="0B2545"/>
          <w:sz w:val="19"/>
        </w:rPr>
        <w:t>class DeviceAdapter:</w:t>
        <w:br/>
        <w:t xml:space="preserve">    adapter_id = "vendor_protocol_v1"</w:t>
        <w:br/>
        <w:br/>
        <w:t xml:space="preserve">    def discover(self, scope): ...</w:t>
        <w:br/>
        <w:t xml:space="preserve">    def identify(self, candidate): ...</w:t>
        <w:br/>
        <w:t xml:space="preserve">    def describe(self, identity): ...</w:t>
        <w:br/>
        <w:t xml:space="preserve">    def connect(self, identity, secret_ref): ...</w:t>
        <w:br/>
        <w:t xml:space="preserve">    def read_state(self, session, device): ...</w:t>
        <w:br/>
        <w:t xml:space="preserve">    def invoke(self, session, device, action, params, request_id): ...</w:t>
        <w:br/>
        <w:t xml:space="preserve">    def subscribe_events(self, session, device, callback): ...</w:t>
        <w:br/>
        <w:t xml:space="preserve">    def close(self, session): ...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适配器必须是可测试、可超时、可取消的插件。它不能直接修改数据库、UI 或 AI 对话；所有结果通过统一事件和状态接口返回。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主流协议适配矩阵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2600"/>
        <w:gridCol w:w="29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协议 / 总线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连接模型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典型能力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安全与适配重点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HTTPS / REST</w:t>
            </w:r>
          </w:p>
        </w:tc>
        <w:tc>
          <w:tcPr>
            <w:tcW w:type="dxa" w:w="20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请求-响应</w:t>
            </w:r>
          </w:p>
        </w:tc>
        <w:tc>
          <w:tcPr>
            <w:tcW w:type="dxa" w:w="26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灯、空调、摄像头、网关</w:t>
            </w:r>
          </w:p>
        </w:tc>
        <w:tc>
          <w:tcPr>
            <w:tcW w:type="dxa" w:w="29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TLS、证书校验、签名、超时、幂等键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MQTT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发布-订阅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传感器、开关、状态事件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TLS、客户端证书、主题 ACL、消息去重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WebSocket</w:t>
            </w:r>
          </w:p>
        </w:tc>
        <w:tc>
          <w:tcPr>
            <w:tcW w:type="dxa" w:w="20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长连接双向事件</w:t>
            </w:r>
          </w:p>
        </w:tc>
        <w:tc>
          <w:tcPr>
            <w:tcW w:type="dxa" w:w="26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实时状态、报警、面板</w:t>
            </w:r>
          </w:p>
        </w:tc>
        <w:tc>
          <w:tcPr>
            <w:tcW w:type="dxa" w:w="29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握手认证、心跳、断线重连、帧完整性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CoAP / DTLS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低功耗资源模型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电池传感器、照明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资源白名单、重放保护、确认消息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Matter</w:t>
            </w:r>
          </w:p>
        </w:tc>
        <w:tc>
          <w:tcPr>
            <w:tcW w:type="dxa" w:w="20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标准集群与 Fabric</w:t>
            </w:r>
          </w:p>
        </w:tc>
        <w:tc>
          <w:tcPr>
            <w:tcW w:type="dxa" w:w="26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照明、插座、门锁、环境</w:t>
            </w:r>
          </w:p>
        </w:tc>
        <w:tc>
          <w:tcPr>
            <w:tcW w:type="dxa" w:w="29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配对码、证书、Fabric 权限、Cluster 映射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Modbus TCP / RTU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寄存器读写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电表、空调、工业设备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站号白名单、寄存器 schema、CRC、写入保护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BLE GATT</w:t>
            </w:r>
          </w:p>
        </w:tc>
        <w:tc>
          <w:tcPr>
            <w:tcW w:type="dxa" w:w="20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短距服务特征</w:t>
            </w:r>
          </w:p>
        </w:tc>
        <w:tc>
          <w:tcPr>
            <w:tcW w:type="dxa" w:w="26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穿戴、锁、传感器</w:t>
            </w:r>
          </w:p>
        </w:tc>
        <w:tc>
          <w:tcPr>
            <w:tcW w:type="dxa" w:w="29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配对、特征权限、连接超时、重连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Zigbee / Thread / Z-Wave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协调器节点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低功耗家居设备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网络密钥、节点权限、端点和 Cluster 版本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RS-485 / CAN / GPIO</w:t>
            </w:r>
          </w:p>
        </w:tc>
        <w:tc>
          <w:tcPr>
            <w:tcW w:type="dxa" w:w="20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物理总线或边缘桥接</w:t>
            </w:r>
          </w:p>
        </w:tc>
        <w:tc>
          <w:tcPr>
            <w:tcW w:type="dxa" w:w="26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继电器、工业传感器</w:t>
            </w:r>
          </w:p>
        </w:tc>
        <w:tc>
          <w:tcPr>
            <w:tcW w:type="dxa" w:w="29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总线隔离、帧校验、速率、驱动白名单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协议越多，越需要统一的能力模型和错误语义。增加协议不等于把所有端口暴露给前端；协议网关应按设备、动作和网络范围建立最小权限。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7. 安全设计：接入任意设备，但不能放大风险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安全层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实施要求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边界</w:t>
            </w:r>
          </w:p>
        </w:tc>
        <w:tc>
          <w:tcPr>
            <w:tcW w:type="dxa" w:w="75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仅允许用户选择的网络范围、设备类型和端口；拒绝公网任意探测和开放式端口扫描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身份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设备唯一 ID、证书 / 配对码 / 令牌引用；防止重复注册和设备冒充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传输</w:t>
            </w:r>
          </w:p>
        </w:tc>
        <w:tc>
          <w:tcPr>
            <w:tcW w:type="dxa" w:w="75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优先 TLS / DTLS / 安全总线；旧 HTTP 只限隔离内网并配合签名、时间戳和重放保护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授权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按设备、动作、用户、自动化来源建立 ACL；开锁、写寄存器、固件升级单独授权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密钥</w:t>
            </w:r>
          </w:p>
        </w:tc>
        <w:tc>
          <w:tcPr>
            <w:tcW w:type="dxa" w:w="75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密钥进入安全存储或系统密钥环，数据库和前端只保存 secret_ref，不记录明文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执行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参数 schema 校验、速率限制、幂等键、超时、熔断和审计日志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供应链</w:t>
            </w:r>
          </w:p>
        </w:tc>
        <w:tc>
          <w:tcPr>
            <w:tcW w:type="dxa" w:w="75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适配器签名、版本锁定、沙箱权限、依赖扫描和回滚包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安全边界必须优先于“自动接入”。如果设备的协议无法认证或无法验证状态，应当允许只读观察或明确拒绝，而不是为了演示而伪造在线和成功。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8. 状态同步：解决“按钮变了但设备没变”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8.1 期望状态与实际上报状态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控制请求只代表“主控发出了意图”，不能直接当成设备已经完成。系统应保存 desired_state、reported_state、request_id、device_timestamp 和 confirmed_at。只有回读或设备事件确认后，UI 才显示完成。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8.2 可靠执行流程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生成全局唯一 request_id 和幂等键，检查动作参数。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写入命令日志，状态标记为 pending。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通过适配器发送动作，带上超时、认证和重试策略。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读取设备回执或主动回读状态，校验值、时间戳和设备 ID。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一致则标记 confirmed；不一致则标记 mismatch / failed，并显示具体原因。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离线时进入队列或明确拒绝，恢复上线后按策略重新对账，不重复执行非幂等动作。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状态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含义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前端表现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pending</w:t>
            </w:r>
          </w:p>
        </w:tc>
        <w:tc>
          <w:tcPr>
            <w:tcW w:type="dxa" w:w="39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命令已发出，等待设备确认</w:t>
            </w:r>
          </w:p>
        </w:tc>
        <w:tc>
          <w:tcPr>
            <w:tcW w:type="dxa" w:w="36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显示处理中，不假装开关已完成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confirmed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回读与期望一致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显示目标状态和完成时间</w:t>
            </w:r>
          </w:p>
        </w:tc>
      </w:tr>
      <w:tr>
        <w:tc>
          <w:tcPr>
            <w:tcW w:type="dxa" w:w="18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mismatch</w:t>
            </w:r>
          </w:p>
        </w:tc>
        <w:tc>
          <w:tcPr>
            <w:tcW w:type="dxa" w:w="39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设备返回与目标不一致</w:t>
            </w:r>
          </w:p>
        </w:tc>
        <w:tc>
          <w:tcPr>
            <w:tcW w:type="dxa" w:w="36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显示实际值、原因和重试入口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offline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设备或链路不可达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显示离线，不允许危险动作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9. 自动化、AI 与自定义设备的边界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智能层只能从能力模型中选择动作，不能绕过适配器直接拼接厂商命令。AI 负责理解意图、排序候选、解释原因和提出计划；执行器负责权限、参数校验、并发、回读和安全策略。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只读信息可以自动汇总；开锁、门禁、燃气、电源总闸、固件升级等高风险动作必须走独立授权策略。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自动化规则以事件、阈值、时间窗和设备能力为条件，不以设备昵称或模糊字符串直接执行。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每次自动动作都写入原因、输入状态、命令、回读结果、失败原因和策略版本，便于评价和回滚。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新增设备未声明的能力不会被 AI 猜测；用户可以先使用只读模式，再逐项开放写入能力。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10. 插件清单与设备注册示例</w:t>
      </w:r>
    </w:p>
    <w:p>
      <w:pPr>
        <w:spacing w:before="60" w:after="160" w:line="264" w:lineRule="auto"/>
        <w:ind w:left="288" w:right="288"/>
      </w:pPr>
      <w:r>
        <w:rPr>
          <w:rFonts w:ascii="Consolas" w:hAnsi="Consolas" w:eastAsia="Consolas"/>
          <w:color w:val="0B2545"/>
          <w:sz w:val="19"/>
        </w:rPr>
        <w:t>{</w:t>
        <w:br/>
        <w:t xml:space="preserve">  "adapter_id": "acme.modbus.v2",</w:t>
        <w:br/>
        <w:t xml:space="preserve">  "version": "2.1.0",</w:t>
        <w:br/>
        <w:t xml:space="preserve">  "match": {"protocol": "modbus_rtu", "vendor": "ACME", "model": ["X1", "X2"]},</w:t>
        <w:br/>
        <w:t xml:space="preserve">  "transport": {"baudrate": 9600, "parity": "N", "stop_bits": 1},</w:t>
        <w:br/>
        <w:t xml:space="preserve">  "capabilities": [</w:t>
        <w:br/>
        <w:t xml:space="preserve">    {"name": "power", "type": "boolean", "read_register": 1, "write_register": 1},</w:t>
        <w:br/>
        <w:t xml:space="preserve">    {"name": "temperature", "type": "number", "unit": "°C", "scale": 0.1, "read_register": 10}</w:t>
        <w:br/>
        <w:t xml:space="preserve">  ],</w:t>
        <w:br/>
        <w:t xml:space="preserve">  "permissions": ["read_state", "write_power"],</w:t>
        <w:br/>
        <w:t xml:space="preserve">  "health": {"heartbeat_seconds": 30, "read_timeout_ms": 800}</w:t>
        <w:br/>
        <w:t>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清单由适配器作者提供，主控在安装前验证签名、版本、权限和能力 schema。设备注册时只写入身份、能力、连接引用和策略，不把厂商密钥复制到手机端。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11. 端到端实施流程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为目标设备选择连接方式：标准协议、厂商 API、边缘桥接或物理总线。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编写设备描述文件，列出身份字段、属性、动作、事件、错误码和安全要求。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实现 Adapter，并用离线模拟器、真实设备和异常链路分别测试。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将 Adapter 安装到协议网关，限制它能访问的地址、端口、文件和系统调用。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执行发现与身份认证，保留发现证据；失败时返回可解释原因。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读取能力模型，生成统一设备卡片和 API；未知能力保持禁用。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进行一次只读状态同步，再开放低风险写入动作。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按 desired / reported 状态模型接入自动化、AI、日志和移动端。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完成断网、重启、重复命令、设备替换、权限撤销和回滚验收。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12. 测试与验收矩阵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测试项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验收标准</w:t>
            </w:r>
          </w:p>
        </w:tc>
      </w:tr>
      <w:tr>
        <w:tc>
          <w:tcPr>
            <w:tcW w:type="dxa" w:w="24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离线发现</w:t>
            </w:r>
          </w:p>
        </w:tc>
        <w:tc>
          <w:tcPr>
            <w:tcW w:type="dxa" w:w="69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设备断电或不可达时不出现在已接入列表，无假成功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身份唯一性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同一设备重复扫描不会重复注册，替换设备不会继承旧密钥</w:t>
            </w:r>
          </w:p>
        </w:tc>
      </w:tr>
      <w:tr>
        <w:tc>
          <w:tcPr>
            <w:tcW w:type="dxa" w:w="24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能力准确性</w:t>
            </w:r>
          </w:p>
        </w:tc>
        <w:tc>
          <w:tcPr>
            <w:tcW w:type="dxa" w:w="69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页面只显示适配器声明并通过读回验证的动作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控制闭环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命令、回执、回读、超时和错误均有 request_id 关联</w:t>
            </w:r>
          </w:p>
        </w:tc>
      </w:tr>
      <w:tr>
        <w:tc>
          <w:tcPr>
            <w:tcW w:type="dxa" w:w="24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协议安全</w:t>
            </w:r>
          </w:p>
        </w:tc>
        <w:tc>
          <w:tcPr>
            <w:tcW w:type="dxa" w:w="69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认证失败、证书错误、重放、越权和公网地址均被拒绝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断网恢复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恢复后自动重新对账，非幂等命令不会重复执行</w:t>
            </w:r>
          </w:p>
        </w:tc>
      </w:tr>
      <w:tr>
        <w:tc>
          <w:tcPr>
            <w:tcW w:type="dxa" w:w="24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并发控制</w:t>
            </w:r>
          </w:p>
        </w:tc>
        <w:tc>
          <w:tcPr>
            <w:tcW w:type="dxa" w:w="69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多个来源同时操作时有版本或锁策略，最终状态可解释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审计追踪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可按设备、用户、适配器、时间和 request_id 查询完整记录</w:t>
            </w:r>
          </w:p>
        </w:tc>
      </w:tr>
      <w:tr>
        <w:tc>
          <w:tcPr>
            <w:tcW w:type="dxa" w:w="240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回滚</w:t>
            </w:r>
          </w:p>
        </w:tc>
        <w:tc>
          <w:tcPr>
            <w:tcW w:type="dxa" w:w="69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适配器或设备描述升级失败可恢复旧版本，不破坏现有设备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13. 运营、升级和扩展建议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适配器版本与设备描述版本分离管理，支持灰度发布和按设备回滚。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为每种协议维护连接池、心跳、限流、断线重连和指标：成功率、延迟、离线时长、回读一致率。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建立厂商适配器认证流程：协议文档、抓包样例、异常码、最小权限和现场验收记录缺一不可。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把设备能力目录作为长期资产，前端、自动化和 AI 都从目录读取，不复制一份私有别名表。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当设备协议发生变化时，优先升级 Adapter，不改业务层和页面；这是控制平台可持续演进的核心。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14. 结论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一个真正可扩展的自定义设备平台，不是把几个设备类型写在页面上，而是建立“真实发现 + 身份认证 + 能力描述 + 协议适配 + 状态闭环 + 安全审计”的完整工程链路。这样接入灯、空调、门锁、摄像头、传感器、工业仪表或自研开发板时，新增的是设备描述和适配器，核心控制平面、前端组件、日志和智能能力都可以复用。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最终判断标准只有一个：设备在线时能被证明、能力能被读取、命令能被执行、结果能被回读；设备不在线或不可信时，系统必须诚实地报告失败。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A6978"/>
        <w:sz w:val="18"/>
      </w:rPr>
      <w:t>架构参考文档 · 以现场设备和协议实际能力为准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A6978"/>
        <w:sz w:val="18"/>
      </w:rPr>
      <w:t>通用自定义设备接入平台 · 技术白皮书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