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 w:eastAsia="黑体"/>
          <w:b/>
          <w:color w:val="000000"/>
          <w:sz w:val="28"/>
        </w:rPr>
        <w:t>Olist 客户经营决策报告：主投拉新、精准留旧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color w:val="767676"/>
          <w:sz w:val="17"/>
        </w:rPr>
        <w:t>基于 Olist 巴西电商 2017-01 至 2018-08 订单数据｜供经营管理者决策</w:t>
      </w:r>
    </w:p>
    <w:p>
      <w:pPr>
        <w:pStyle w:val="Heading1"/>
        <w:spacing w:line="252" w:lineRule="auto" w:before="80" w:after="20"/>
      </w:pPr>
      <w:r>
        <w:rPr>
          <w:rFonts w:ascii="Times New Roman" w:hAnsi="Times New Roman" w:eastAsia="黑体"/>
          <w:b/>
          <w:color w:val="000000"/>
          <w:sz w:val="25"/>
        </w:rPr>
        <w:t>一、结论摘要</w:t>
      </w:r>
    </w:p>
    <w:p>
      <w:pPr>
        <w:spacing w:line="264" w:lineRule="auto" w:before="0" w:after="4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平台复购率仅 3.0%（97% 的客户两年只下单一次），收入高度依赖一次性买家：两年成交额中 97.0% 来自新客首单、仅 3.0% 来自老客复购。诊断与预测均指向同一结论——复购率低是客户消费结构使然（而非履约体验所致），且首购信息几乎无法提前预测谁会复购。</w:t>
      </w:r>
    </w:p>
    <w:p>
      <w:pPr>
        <w:spacing w:line="264" w:lineRule="auto" w:before="0" w:after="4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因此决策：主投拉新保增长、留旧只做精准。增长预算主体投拉新；留旧设独立小池（建议不超过增长预算 20%），只对高潜新客与高价值唤醒两类按首购后 30 天窗打分精准投放。</w:t>
      </w:r>
    </w:p>
    <w:p>
      <w:pPr>
        <w:pStyle w:val="Heading1"/>
        <w:spacing w:line="252" w:lineRule="auto" w:before="80" w:after="20"/>
      </w:pPr>
      <w:r>
        <w:rPr>
          <w:rFonts w:ascii="Times New Roman" w:hAnsi="Times New Roman" w:eastAsia="黑体"/>
          <w:b/>
          <w:color w:val="000000"/>
          <w:sz w:val="25"/>
        </w:rPr>
        <w:t>二、问题与主线</w:t>
      </w:r>
    </w:p>
    <w:p>
      <w:pPr>
        <w:spacing w:line="264" w:lineRule="auto" w:before="0" w:after="4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要回答的问题：运营资源投向“拉新”还是“留旧”。分析沿四条线推进——描述（客户值多少）、诊断（为什么不复购）、预测（能否提前识别复购客）、处方（资源怎么投），每一步都回到这一问。</w:t>
      </w:r>
    </w:p>
    <w:p>
      <w:pPr>
        <w:pStyle w:val="Heading1"/>
        <w:spacing w:line="252" w:lineRule="auto" w:before="80" w:after="20"/>
      </w:pPr>
      <w:r>
        <w:rPr>
          <w:rFonts w:ascii="Times New Roman" w:hAnsi="Times New Roman" w:eastAsia="黑体"/>
          <w:b/>
          <w:color w:val="000000"/>
          <w:sz w:val="25"/>
        </w:rPr>
        <w:t>三、描述：客户价值分层</w:t>
      </w:r>
    </w:p>
    <w:p>
      <w:pPr>
        <w:spacing w:line="264" w:lineRule="auto" w:before="0" w:after="4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将客户按是否复购分两层（复购率=买过两次及以上的客户占比）。单次层 97% 客户按最近购买时间与消费金额分 4 类；复购层 3% 客户按购买次数、金额、最近购买分 8 类，再归为重要/一般两组。两层各配一图。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3348000" cy="15981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m_segment_sing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8000" cy="1598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  <w:jc w:val="center"/>
      </w:pPr>
      <w:r>
        <w:rPr>
          <w:rFonts w:ascii="Times New Roman" w:hAnsi="Times New Roman" w:eastAsia="宋体"/>
          <w:b w:val="0"/>
          <w:color w:val="000000"/>
          <w:sz w:val="17"/>
        </w:rPr>
        <w:t>图 1　单次层 4 类客户：客户占比 vs 成交额占比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color w:val="767676"/>
          <w:sz w:val="15"/>
        </w:rPr>
        <w:t>数据来源：orders_master 按客户聚合，2017-01 至 2018-08。</w:t>
      </w:r>
    </w:p>
    <w:p>
      <w:pPr>
        <w:spacing w:line="264" w:lineRule="auto" w:before="0" w:after="4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图 1 显示：单次层四类客户规模相当（各约 24%），但成交额高度不均——高潜新客与高价值唤醒两类各以约 24% 的客户贡献 38.6%、37.4% 的成交额。可见价值集中在少数高值单次客，留旧应优先这两类。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3240000" cy="24801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m_segment_repea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80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  <w:jc w:val="center"/>
      </w:pPr>
      <w:r>
        <w:rPr>
          <w:rFonts w:ascii="Times New Roman" w:hAnsi="Times New Roman" w:eastAsia="宋体"/>
          <w:b w:val="0"/>
          <w:color w:val="000000"/>
          <w:sz w:val="17"/>
        </w:rPr>
        <w:t>图 2　复购层 8 类客户：客户占比 vs 成交额占比（复购层内口径）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color w:val="767676"/>
          <w:sz w:val="15"/>
        </w:rPr>
        <w:t>数据来源：orders_master 按客户聚合，复购层内占比。</w:t>
      </w:r>
    </w:p>
    <w:p>
      <w:pPr>
        <w:spacing w:line="264" w:lineRule="auto" w:before="0" w:after="4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图 2 显示：复购层内，重要发展客户以 22.7% 的客户贡献 32.8% 的成交额、重要挽留客户以 21.3% 的客户贡献 31.3%，两类合计以 44% 的客户贡献 64% 的成交额，是复购层价值核心。</w:t>
      </w:r>
    </w:p>
    <w:p>
      <w:pPr>
        <w:spacing w:line="264" w:lineRule="auto" w:before="0" w:after="4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结论：单次层价值集中在高潜新客与高价值唤醒；复购层价值集中在重要发展、重要挽留。留旧目标人群由此明确。</w:t>
      </w:r>
    </w:p>
    <w:p>
      <w:pPr>
        <w:pStyle w:val="Heading1"/>
        <w:spacing w:line="252" w:lineRule="auto" w:before="80" w:after="20"/>
      </w:pPr>
      <w:r>
        <w:rPr>
          <w:rFonts w:ascii="Times New Roman" w:hAnsi="Times New Roman" w:eastAsia="黑体"/>
          <w:b/>
          <w:color w:val="000000"/>
          <w:sz w:val="25"/>
        </w:rPr>
        <w:t>四、诊断：为什么只买一次</w:t>
      </w:r>
    </w:p>
    <w:p>
      <w:pPr>
        <w:spacing w:line="264" w:lineRule="auto" w:before="0" w:after="4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用一组假设检验“结构”与“体验”两种解释——结构性原因（客户本来就是一次性购买）无法改变，体验性原因（履约、差评）可改善。</w:t>
      </w:r>
    </w:p>
    <w:p>
      <w:pPr>
        <w:spacing w:line="264" w:lineRule="auto" w:before="0" w:after="4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假设1　复购客与单次客的差异在哪：差异集中在品类多样性——复购客平均购买 1.62 个品类、单次客仅 1.01 个（跨品类购买）；而客单价、评分、超时率几乎无差异。差异在消费结构，初步支持结构说。</w:t>
      </w:r>
    </w:p>
    <w:p>
      <w:pPr>
        <w:spacing w:line="264" w:lineRule="auto" w:before="0" w:after="4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假设2　体验是否压垮复购：超时订单评分 2.46、准时 4.29（超时显著拉低满意），但首单高/中/低评分客户的复购率分别为 2.81/3.05/3.02%，差评并不减少复购——体验非复购主因。</w:t>
      </w:r>
    </w:p>
    <w:p>
      <w:pPr>
        <w:spacing w:line="264" w:lineRule="auto" w:before="0" w:after="4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假设3　履约问题出在哪：超时集中在巴西东北部欠发达州与电子/大件品类，主因是物流延误（占 91%）而非承诺设置过紧。履约可改善，但难以转化为复购增长。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3456000" cy="18268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th_gmv_spl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1826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  <w:jc w:val="center"/>
      </w:pPr>
      <w:r>
        <w:rPr>
          <w:rFonts w:ascii="Times New Roman" w:hAnsi="Times New Roman" w:eastAsia="宋体"/>
          <w:b w:val="0"/>
          <w:color w:val="000000"/>
          <w:sz w:val="17"/>
        </w:rPr>
        <w:t>图 3　月度成交额构成：新客首单 vs 老客复购（柱顶=总成交额，单位百万）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color w:val="767676"/>
          <w:sz w:val="15"/>
        </w:rPr>
        <w:t>数据来源：orders_master，首单=客户第 1 笔订单，复购=第 2 笔起。</w:t>
      </w:r>
    </w:p>
    <w:p>
      <w:pPr>
        <w:spacing w:line="264" w:lineRule="auto" w:before="0" w:after="4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图 3 显示：各月成交额几乎全部来自新客首单，老客复购在各月占比都极低（全期合计仅 3.0%）。叠加各首购月份客户群第 3 个月留存率仅 0.1%–0.4%，可见复购底盘几乎为零，收入结构由一次性买家主导。</w:t>
      </w:r>
    </w:p>
    <w:p>
      <w:pPr>
        <w:spacing w:line="264" w:lineRule="auto" w:before="0" w:after="4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结论：复购率低由客户消费结构决定，非履约体验所致；改善履约属防守项，不是复购增长杠杆。</w:t>
      </w:r>
    </w:p>
    <w:p>
      <w:pPr>
        <w:pStyle w:val="Heading1"/>
        <w:spacing w:line="252" w:lineRule="auto" w:before="80" w:after="20"/>
      </w:pPr>
      <w:r>
        <w:rPr>
          <w:rFonts w:ascii="Times New Roman" w:hAnsi="Times New Roman" w:eastAsia="黑体"/>
          <w:b/>
          <w:color w:val="000000"/>
          <w:sz w:val="25"/>
        </w:rPr>
        <w:t>五、预测：能否提前识别复购客</w:t>
      </w:r>
    </w:p>
    <w:p>
      <w:pPr>
        <w:spacing w:line="264" w:lineRule="auto" w:before="0" w:after="4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用首购时刻就能拿到的信息（首单金额、品类、配送、地区等）预测客户是否复购。模型能力用 AUC 衡量（0.5=随机瞎猜，0.8 以上=强），并规避“用未来信息当特征”的数据泄漏问题。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3024000" cy="194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dow_auc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19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  <w:jc w:val="center"/>
      </w:pPr>
      <w:r>
        <w:rPr>
          <w:rFonts w:ascii="Times New Roman" w:hAnsi="Times New Roman" w:eastAsia="宋体"/>
          <w:b w:val="0"/>
          <w:color w:val="000000"/>
          <w:sz w:val="17"/>
        </w:rPr>
        <w:t>图 4　复购预测能力对比：全期 vs 首购后 30 天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color w:val="767676"/>
          <w:sz w:val="15"/>
        </w:rPr>
        <w:t>数据来源：首单特征训练，逻辑回归/LightGBM，30 天任务做观测期截尾。</w:t>
      </w:r>
    </w:p>
    <w:p>
      <w:pPr>
        <w:spacing w:line="264" w:lineRule="auto" w:before="0" w:after="4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图 4 显示：全期复购 AUC≈0.60、首购后 30 天窗 AUC≈0.62，都接近随机（0.5）、远低于强预测。可见从首单信息几乎无法提前识别谁会复购，再次印证结构说。但按 30 天窗打分，取最可能复购的前 10% 客户可抓到 21% 的复购（盲投仅约 10%），高首单额、近期首购、配送体验差的客户相对更可能复购。</w:t>
      </w:r>
    </w:p>
    <w:p>
      <w:pPr>
        <w:spacing w:line="264" w:lineRule="auto" w:before="0" w:after="4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结论：复购难预测印证结构说；但留旧对高价值单次客做 30 天窗精准激励仍有抓手。</w:t>
      </w:r>
    </w:p>
    <w:p>
      <w:pPr>
        <w:pStyle w:val="Heading1"/>
        <w:spacing w:line="252" w:lineRule="auto" w:before="80" w:after="20"/>
      </w:pPr>
      <w:r>
        <w:rPr>
          <w:rFonts w:ascii="Times New Roman" w:hAnsi="Times New Roman" w:eastAsia="黑体"/>
          <w:b/>
          <w:color w:val="000000"/>
          <w:sz w:val="25"/>
        </w:rPr>
        <w:t>六、处方：资源怎么投</w:t>
      </w:r>
    </w:p>
    <w:p>
      <w:pPr>
        <w:spacing w:line="264" w:lineRule="auto" w:before="0" w:after="40"/>
        <w:ind w:firstLine="420"/>
      </w:pPr>
      <w:r>
        <w:rPr>
          <w:rFonts w:ascii="Times New Roman" w:hAnsi="Times New Roman" w:eastAsia="宋体"/>
          <w:b/>
          <w:color w:val="000000"/>
          <w:sz w:val="21"/>
        </w:rPr>
        <w:t>总体策略：主投拉新、精准留旧。新客首单贡献 97% 的成交额，是增长引擎；复购虽仅 3% 但客单高，值得对高潜客精准投入而非全面铺开。</w:t>
      </w:r>
    </w:p>
    <w:p>
      <w:pPr>
        <w:pStyle w:val="Heading2"/>
        <w:spacing w:line="252" w:lineRule="auto" w:before="20" w:after="20"/>
      </w:pPr>
      <w:r>
        <w:rPr>
          <w:rFonts w:ascii="Times New Roman" w:hAnsi="Times New Roman" w:eastAsia="黑体"/>
          <w:b/>
          <w:color w:val="000000"/>
          <w:sz w:val="22"/>
        </w:rPr>
        <w:t>6.1 预算分配</w:t>
      </w:r>
    </w:p>
    <w:p>
      <w:pPr>
        <w:spacing w:line="264" w:lineRule="auto" w:before="0" w:after="4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增长预算设两个池子：拉新池占大头（约 80%），投渠道获客，承接 97% 成交额的主力来源；留旧池为独立小池（约 20%），只投高潜新客与高价值唤醒，按 30 天窗打分从高到低投放。留旧不铺开，是因为复购从首购信息几乎不可预测（AUC≈0.62），全量投放回报低，精准投前 10% 才划算。</w:t>
      </w:r>
    </w:p>
    <w:p>
      <w:pPr>
        <w:pStyle w:val="Heading2"/>
        <w:spacing w:line="252" w:lineRule="auto" w:before="20" w:after="20"/>
      </w:pPr>
      <w:r>
        <w:rPr>
          <w:rFonts w:ascii="Times New Roman" w:hAnsi="Times New Roman" w:eastAsia="黑体"/>
          <w:b/>
          <w:color w:val="000000"/>
          <w:sz w:val="22"/>
        </w:rPr>
        <w:t>6.2 分人群运营方案</w:t>
      </w:r>
    </w:p>
    <w:p>
      <w:pPr>
        <w:spacing w:line="264" w:lineRule="auto" w:before="0" w:after="40"/>
      </w:pPr>
      <w:r>
        <w:rPr>
          <w:rFonts w:ascii="Times New Roman" w:hAnsi="Times New Roman" w:eastAsia="宋体"/>
          <w:b w:val="0"/>
          <w:color w:val="000000"/>
          <w:sz w:val="21"/>
        </w:rPr>
        <w:t>按客户层匹配动作与预期，留旧池预算按下表分配。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247"/>
            <w:shd w:val="clear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客户层</w:t>
            </w:r>
          </w:p>
        </w:tc>
        <w:tc>
          <w:tcPr>
            <w:tcW w:type="dxa" w:w="2608"/>
            <w:shd w:val="clear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运营动作</w:t>
            </w:r>
          </w:p>
        </w:tc>
        <w:tc>
          <w:tcPr>
            <w:tcW w:type="dxa" w:w="2494"/>
            <w:shd w:val="clear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触达</w:t>
            </w:r>
          </w:p>
        </w:tc>
        <w:tc>
          <w:tcPr>
            <w:tcW w:type="dxa" w:w="1134"/>
            <w:shd w:val="clear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留旧池占比</w:t>
            </w:r>
          </w:p>
        </w:tc>
        <w:tc>
          <w:tcPr>
            <w:tcW w:type="dxa" w:w="1928"/>
            <w:shd w:val="clear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预期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高潜新客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首购 30 天内复购券/定向推送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App/短信，前 10% 打分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40%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短期复购率提升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高价值唤醒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品类定向召回（bed_bath_table）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定向邮件+券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30%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唤醒沉默高值客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复购·重要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会员权益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会员体系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20%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稳住核心复购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待培育/流失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凑单提客单、降低打扰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全量低价轻触达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10%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提客单、控成本</w:t>
            </w:r>
          </w:p>
        </w:tc>
      </w:tr>
    </w:tbl>
    <w:p>
      <w:pPr>
        <w:spacing w:line="264" w:lineRule="auto" w:before="40" w:after="4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表 1 中，预算向可产生增量复购的高潜新客与高价值唤醒倾斜（合计 70%），复购重要组用会员权益低成本稳住，低价值层仅做轻触达提客单、控制打扰成本。</w:t>
      </w:r>
    </w:p>
    <w:p>
      <w:pPr>
        <w:pStyle w:val="Heading2"/>
        <w:spacing w:line="252" w:lineRule="auto" w:before="20" w:after="20"/>
      </w:pPr>
      <w:r>
        <w:rPr>
          <w:rFonts w:ascii="Times New Roman" w:hAnsi="Times New Roman" w:eastAsia="黑体"/>
          <w:b/>
          <w:color w:val="000000"/>
          <w:sz w:val="22"/>
        </w:rPr>
        <w:t>6.3 落地步骤</w:t>
      </w:r>
    </w:p>
    <w:p>
      <w:pPr>
        <w:spacing w:line="264" w:lineRule="auto" w:before="0" w:after="4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第一步：新客完成首购即按 30 天窗打分（首单金额、品类、配送、地区）；第二步：取最可能复购的前 10% 进入留旧池投放激励；第三步：按月统计留旧池投产比，低于阈值则收缩预算、回到拉新池。</w:t>
      </w:r>
    </w:p>
    <w:p>
      <w:pPr>
        <w:pStyle w:val="Heading2"/>
        <w:spacing w:line="252" w:lineRule="auto" w:before="20" w:after="20"/>
      </w:pPr>
      <w:r>
        <w:rPr>
          <w:rFonts w:ascii="Times New Roman" w:hAnsi="Times New Roman" w:eastAsia="黑体"/>
          <w:b/>
          <w:color w:val="000000"/>
          <w:sz w:val="22"/>
        </w:rPr>
        <w:t>6.4 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587"/>
            <w:shd w:val="clear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指标</w:t>
            </w:r>
          </w:p>
        </w:tc>
        <w:tc>
          <w:tcPr>
            <w:tcW w:type="dxa" w:w="3402"/>
            <w:shd w:val="clear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口径</w:t>
            </w:r>
          </w:p>
        </w:tc>
        <w:tc>
          <w:tcPr>
            <w:tcW w:type="dxa" w:w="1247"/>
            <w:shd w:val="clear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频率</w:t>
            </w:r>
          </w:p>
        </w:tc>
        <w:tc>
          <w:tcPr>
            <w:tcW w:type="dxa" w:w="2381"/>
            <w:shd w:val="clear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目标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复购率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复购客户 / 总客户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月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稳中有升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留旧池 ROI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留旧带动成交额 / 留旧成本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月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&gt;1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成交额构成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新客首单 vs 老客复购占比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月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复购占比不降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品类渗透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复购客平均品类数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季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由 1.62 提升</w:t>
            </w:r>
          </w:p>
        </w:tc>
      </w:tr>
    </w:tbl>
    <w:p>
      <w:pPr>
        <w:spacing w:line="264" w:lineRule="auto" w:before="40" w:after="4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表 2 为管理监控落点，与经理仪表盘五页对应：经营总览（成交额构成）、客户价值（两层分层）、复购预测（30 天窗打分）、履约（超时州/品类）、品类。</w:t>
      </w:r>
    </w:p>
    <w:p>
      <w:pPr>
        <w:pStyle w:val="Heading1"/>
        <w:spacing w:line="252" w:lineRule="auto" w:before="80" w:after="20"/>
      </w:pPr>
      <w:r>
        <w:rPr>
          <w:rFonts w:ascii="Times New Roman" w:hAnsi="Times New Roman" w:eastAsia="黑体"/>
          <w:b/>
          <w:color w:val="000000"/>
          <w:sz w:val="25"/>
        </w:rPr>
        <w:t>七、结论</w:t>
      </w:r>
    </w:p>
    <w:p>
      <w:pPr>
        <w:spacing w:line="264" w:lineRule="auto" w:before="0" w:after="4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主投拉新以保增长；留旧只对高价值单次客做 30 天窗精准激励，预算设上限、按分投放、按月看投产比；改善履约仅作防守，不作为复购增长杠杆。</w:t>
      </w:r>
    </w:p>
    <w:sectPr w:rsidR="00FC693F" w:rsidRPr="0006063C" w:rsidSect="00034616">
      <w:footerReference w:type="default" r:id="rId9"/>
      <w:pgSz w:w="11906" w:h="16838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