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3936F8">
      <w:pPr>
        <w:pStyle w:val="33"/>
      </w:pPr>
      <w:r>
        <w:t>Olist 巴西电商数据探索性分析（EDA）报告</w:t>
      </w:r>
    </w:p>
    <w:p w14:paraId="23B0BC80">
      <w:pPr>
        <w:spacing w:after="240"/>
        <w:jc w:val="center"/>
      </w:pPr>
      <w:r>
        <w:rPr>
          <w:rFonts w:ascii="Times New Roman" w:hAnsi="Times New Roman" w:eastAsia="楷体"/>
          <w:sz w:val="24"/>
        </w:rPr>
        <w:t>基于 96,478 个真实订单的现状、体验与增长洞察</w:t>
      </w:r>
    </w:p>
    <w:p w14:paraId="6A8F16B5">
      <w:pPr>
        <w:pStyle w:val="3"/>
      </w:pPr>
      <w:bookmarkStart w:id="0" w:name="_LarkToc00001"/>
      <w:r>
        <w:t>摘要</w:t>
      </w:r>
      <w:bookmarkEnd w:id="0"/>
    </w:p>
    <w:p w14:paraId="11253C5B">
      <w:r>
        <w:rPr>
          <w:rFonts w:ascii="Times New Roman" w:hAnsi="Times New Roman" w:eastAsia="宋体"/>
        </w:rPr>
        <w:t>本报告</w:t>
      </w:r>
      <w:r>
        <w:rPr>
          <w:rFonts w:hint="eastAsia"/>
          <w:lang w:val="en-US" w:eastAsia="zh-CN"/>
        </w:rPr>
        <w:t>来源于</w:t>
      </w:r>
      <w:r>
        <w:rPr>
          <w:rFonts w:ascii="Times New Roman" w:hAnsi="Times New Roman" w:eastAsia="宋体"/>
        </w:rPr>
        <w:t>Olist 巴西电商平台官方公开数据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2016年至2018年</w:t>
      </w:r>
      <w:r>
        <w:rPr>
          <w:rFonts w:hint="eastAsia"/>
          <w:lang w:eastAsia="zh-CN"/>
        </w:rPr>
        <w:t>）</w:t>
      </w:r>
      <w:r>
        <w:rPr>
          <w:rFonts w:ascii="Times New Roman" w:hAnsi="Times New Roman" w:eastAsia="宋体"/>
        </w:rPr>
        <w:t>，数据截至 2018 年 10 月 17 日，2018 年 9 至 10 月部分订单尚在途；平台 2016 年处于</w:t>
      </w:r>
      <w:r>
        <w:rPr>
          <w:rFonts w:hint="eastAsia"/>
          <w:lang w:val="en-US" w:eastAsia="zh-CN"/>
        </w:rPr>
        <w:t>测试期</w:t>
      </w:r>
      <w:r>
        <w:rPr>
          <w:rFonts w:ascii="Times New Roman" w:hAnsi="Times New Roman" w:eastAsia="宋体"/>
        </w:rPr>
        <w:t>、样本较少，复购率等指标在全周期内更接近下限估计。</w:t>
      </w:r>
      <w:r>
        <w:rPr>
          <w:rFonts w:hint="eastAsia"/>
          <w:lang w:val="en-US" w:eastAsia="zh-CN"/>
        </w:rPr>
        <w:t>因此对</w:t>
      </w:r>
      <w:r>
        <w:rPr>
          <w:rFonts w:ascii="Times New Roman" w:hAnsi="Times New Roman" w:eastAsia="宋体"/>
        </w:rPr>
        <w:t>2017</w:t>
      </w:r>
      <w:r>
        <w:rPr>
          <w:rFonts w:hint="eastAsia"/>
          <w:lang w:val="en-US" w:eastAsia="zh-CN"/>
        </w:rPr>
        <w:t>年</w:t>
      </w:r>
      <w:r>
        <w:rPr>
          <w:rFonts w:ascii="Times New Roman" w:hAnsi="Times New Roman" w:eastAsia="宋体"/>
        </w:rPr>
        <w:t>1</w:t>
      </w:r>
      <w:r>
        <w:rPr>
          <w:rFonts w:hint="eastAsia"/>
          <w:lang w:val="en-US" w:eastAsia="zh-CN"/>
        </w:rPr>
        <w:t>月</w:t>
      </w:r>
      <w:r>
        <w:rPr>
          <w:rFonts w:ascii="Times New Roman" w:hAnsi="Times New Roman" w:eastAsia="宋体"/>
        </w:rPr>
        <w:t xml:space="preserve"> 至 2018</w:t>
      </w:r>
      <w:r>
        <w:rPr>
          <w:rFonts w:hint="eastAsia"/>
          <w:lang w:val="en-US" w:eastAsia="zh-CN"/>
        </w:rPr>
        <w:t>年</w:t>
      </w:r>
      <w:r>
        <w:rPr>
          <w:rFonts w:ascii="Times New Roman" w:hAnsi="Times New Roman" w:eastAsia="宋体"/>
        </w:rPr>
        <w:t>8</w:t>
      </w:r>
      <w:r>
        <w:rPr>
          <w:rFonts w:hint="eastAsia"/>
          <w:lang w:val="en-US" w:eastAsia="zh-CN"/>
        </w:rPr>
        <w:t>月的</w:t>
      </w:r>
      <w:r>
        <w:rPr>
          <w:rFonts w:ascii="Times New Roman" w:hAnsi="Times New Roman" w:eastAsia="宋体"/>
        </w:rPr>
        <w:t xml:space="preserve"> 96,478 个有效订单进行探索性分析。探索方向包括经营总览、时间趋势、品类结构、地理分布、履约时效与评论评分六个方面。</w:t>
      </w:r>
    </w:p>
    <w:p w14:paraId="3C435E27">
      <w:pPr>
        <w:rPr>
          <w:rFonts w:ascii="Times New Roman" w:hAnsi="Times New Roman" w:eastAsia="宋体"/>
        </w:rPr>
      </w:pPr>
      <w:r>
        <w:rPr>
          <w:rFonts w:hint="eastAsia"/>
          <w:lang w:val="en-US" w:eastAsia="zh-CN"/>
        </w:rPr>
        <w:t>其中，</w:t>
      </w:r>
      <w:r>
        <w:rPr>
          <w:rFonts w:ascii="Times New Roman" w:hAnsi="Times New Roman" w:eastAsia="宋体"/>
        </w:rPr>
        <w:t>有效订单仅取 delivered 状态（99,441 单中保留 96,478 单）；用户口径使用 customer_unique_id 去重；GMV 按订单明细 price 与 freight_value 求和；缺失类目归入 unknown；地理坐标过滤至巴西范围。</w:t>
      </w:r>
    </w:p>
    <w:p w14:paraId="096BFAC5">
      <w:r>
        <w:rPr>
          <w:rFonts w:ascii="Times New Roman" w:hAnsi="Times New Roman" w:eastAsia="宋体"/>
        </w:rPr>
        <w:t>核心判断是：</w:t>
      </w:r>
      <w:r>
        <w:rPr>
          <w:rFonts w:ascii="Times New Roman" w:hAnsi="Times New Roman" w:eastAsia="宋体"/>
          <w:b/>
          <w:bCs/>
        </w:rPr>
        <w:t>平台处于高增长但低复购的状态</w:t>
      </w:r>
      <w:r>
        <w:rPr>
          <w:rFonts w:ascii="Times New Roman" w:hAnsi="Times New Roman" w:eastAsia="宋体"/>
        </w:rPr>
        <w:t>——两年总 GMV 约 1,542 万雷亚尔，客单价 159.83 雷亚尔，但复购客户占比仅 3.0%，经营高度依赖新客获取，存量客户价值挖掘是最大的增长空间。</w:t>
      </w:r>
    </w:p>
    <w:p w14:paraId="0BB92BB2">
      <w:pPr>
        <w:rPr>
          <w:rFonts w:hint="eastAsia" w:ascii="Times New Roman" w:hAnsi="Times New Roman" w:eastAsia="宋体"/>
          <w:lang w:eastAsia="zh-CN"/>
        </w:rPr>
      </w:pPr>
      <w:r>
        <w:rPr>
          <w:rFonts w:ascii="Times New Roman" w:hAnsi="Times New Roman" w:eastAsia="宋体"/>
        </w:rPr>
        <w:t>分析发现三个关键事实</w:t>
      </w:r>
      <w:r>
        <w:rPr>
          <w:rFonts w:hint="eastAsia"/>
          <w:lang w:eastAsia="zh-CN"/>
        </w:rPr>
        <w:t>：</w:t>
      </w:r>
    </w:p>
    <w:p w14:paraId="001B43B3">
      <w:pPr>
        <w:numPr>
          <w:ilvl w:val="0"/>
          <w:numId w:val="7"/>
        </w:num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促销驱动显著，2017 年 11 月（巴西黑五）订单量达 7,289 单，约为日常水平的 1.6 倍；</w:t>
      </w:r>
    </w:p>
    <w:p w14:paraId="533992A4">
      <w:pPr>
        <w:numPr>
          <w:ilvl w:val="0"/>
          <w:numId w:val="7"/>
        </w:numPr>
      </w:pPr>
      <w:r>
        <w:rPr>
          <w:rFonts w:ascii="Times New Roman" w:hAnsi="Times New Roman" w:eastAsia="宋体"/>
        </w:rPr>
        <w:t>订单高度集中于东南部，圣保罗州一州占 42%，物流与市场策略应优先覆盖该区域；</w:t>
      </w:r>
    </w:p>
    <w:p w14:paraId="783E5510">
      <w:pPr>
        <w:numPr>
          <w:ilvl w:val="0"/>
          <w:numId w:val="7"/>
        </w:numPr>
      </w:pPr>
      <w:r>
        <w:rPr>
          <w:rFonts w:ascii="Times New Roman" w:hAnsi="Times New Roman" w:eastAsia="宋体"/>
        </w:rPr>
        <w:t>履约时效是客户体验的最大短板——平均配送 12.1 天，7.6% 的订单超时，而超时订单平均评分仅 2.46 分，较准时订单（4.29 分）下滑 1.83 分。</w:t>
      </w:r>
    </w:p>
    <w:p w14:paraId="237F4FF6">
      <w:r>
        <w:rPr>
          <w:rFonts w:ascii="Times New Roman" w:hAnsi="Times New Roman" w:eastAsia="宋体"/>
        </w:rPr>
        <w:t>据此，后续分析将以两条主线闭环：一是</w:t>
      </w:r>
      <w:r>
        <w:rPr>
          <w:rFonts w:ascii="Times New Roman" w:hAnsi="Times New Roman" w:eastAsia="宋体"/>
          <w:b/>
          <w:bCs/>
        </w:rPr>
        <w:t>用户价值主线</w:t>
      </w:r>
      <w:r>
        <w:rPr>
          <w:rFonts w:ascii="Times New Roman" w:hAnsi="Times New Roman" w:eastAsia="宋体"/>
        </w:rPr>
        <w:t>，通过 RFM 分层构建用户画像，并以复购预测模型识别可挽回客户；二是</w:t>
      </w:r>
      <w:r>
        <w:rPr>
          <w:rFonts w:ascii="Times New Roman" w:hAnsi="Times New Roman" w:eastAsia="宋体"/>
          <w:b/>
          <w:bCs/>
        </w:rPr>
        <w:t>履约归因主线</w:t>
      </w:r>
      <w:r>
        <w:rPr>
          <w:rFonts w:ascii="Times New Roman" w:hAnsi="Times New Roman" w:eastAsia="宋体"/>
        </w:rPr>
        <w:t>，按州、品类、卖家拆解超时原因，量化时效改善对评分与复购的影响。</w:t>
      </w:r>
    </w:p>
    <w:p w14:paraId="52F0401E"/>
    <w:p w14:paraId="343B8DE0">
      <w:pPr>
        <w:sectPr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3B38131E">
      <w:pPr>
        <w:pStyle w:val="3"/>
        <w:rPr>
          <w:rFonts w:hint="default" w:eastAsia="黑体"/>
          <w:lang w:val="en-US" w:eastAsia="zh-CN"/>
        </w:rPr>
      </w:pPr>
      <w:bookmarkStart w:id="1" w:name="_LarkToc00006"/>
      <w:r>
        <w:t>核心发现</w:t>
      </w:r>
      <w:bookmarkEnd w:id="1"/>
      <w:bookmarkStart w:id="8" w:name="_GoBack"/>
      <w:bookmarkEnd w:id="8"/>
    </w:p>
    <w:p w14:paraId="308CEAE9">
      <w:pPr>
        <w:pStyle w:val="4"/>
      </w:pPr>
      <w:bookmarkStart w:id="2" w:name="_LarkToc00007"/>
      <w:r>
        <w:t>1 复购率仅 3.0%，客户以一次性购买为主</w:t>
      </w:r>
      <w:bookmarkEnd w:id="2"/>
    </w:p>
    <w:p w14:paraId="119F925D">
      <w:pPr>
        <w:rPr>
          <w:rFonts w:ascii="Times New Roman" w:hAnsi="Times New Roman" w:eastAsia="宋体"/>
          <w:b w:val="0"/>
          <w:sz w:val="21"/>
        </w:rPr>
      </w:pPr>
      <w:r>
        <w:rPr>
          <w:rFonts w:ascii="Times New Roman" w:hAnsi="Times New Roman" w:eastAsia="宋体"/>
          <w:b w:val="0"/>
          <w:sz w:val="21"/>
        </w:rPr>
        <w:t>平台复购客户占比仅 3.0%，经营高度依赖新客获取，存量客户价值未被开发。96,478 个订单中唯一客户 93,358 人，人均订单约 1.03 单，客单价 159.83 雷亚尔。作为撮合平台，Olist 的客户多为单次交易，未形成明显的复购黏性。</w:t>
      </w:r>
      <w:r>
        <w:rPr>
          <w:rFonts w:hint="eastAsia"/>
          <w:b w:val="0"/>
          <w:sz w:val="21"/>
          <w:lang w:val="en-US" w:eastAsia="zh-CN"/>
        </w:rPr>
        <w:t>可建立</w:t>
      </w:r>
      <w:r>
        <w:rPr>
          <w:rFonts w:ascii="Times New Roman" w:hAnsi="Times New Roman" w:eastAsia="宋体"/>
          <w:b w:val="0"/>
          <w:sz w:val="21"/>
        </w:rPr>
        <w:t>RFM 分层与复购预测模型：在获客成本持续走高的背景下，识别并运营存量客户是更经济的增长路径。</w:t>
      </w:r>
    </w:p>
    <w:p w14:paraId="7A3E354D">
      <w:pPr>
        <w:rPr>
          <w:rFonts w:ascii="Times New Roman" w:hAnsi="Times New Roman" w:eastAsia="宋体"/>
          <w:b w:val="0"/>
          <w:sz w:val="21"/>
        </w:rPr>
      </w:pPr>
      <w:r>
        <w:rPr>
          <w:rFonts w:ascii="Times New Roman" w:hAnsi="Times New Roman" w:eastAsia="宋体"/>
          <w:b w:val="0"/>
          <w:sz w:val="21"/>
        </w:rPr>
        <w:t>可进一步验证复购客户与单次客户在品类、金额、地区上的结构性差异。</w:t>
      </w:r>
    </w:p>
    <w:p w14:paraId="0EEC7D96">
      <w:pPr>
        <w:pStyle w:val="15"/>
        <w:rPr>
          <w:rFonts w:hint="eastAsia" w:ascii="Times New Roman" w:hAnsi="Times New Roman" w:eastAsia="宋体"/>
          <w:b w:val="0"/>
          <w:sz w:val="21"/>
          <w:lang w:eastAsia="zh-CN"/>
        </w:rPr>
      </w:pPr>
      <w:r>
        <w:rPr>
          <w:rFonts w:hint="eastAsia" w:ascii="Times New Roman" w:hAnsi="Times New Roman" w:eastAsia="宋体"/>
          <w:b w:val="0"/>
          <w:sz w:val="21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1452245</wp:posOffset>
            </wp:positionH>
            <wp:positionV relativeFrom="paragraph">
              <wp:posOffset>97790</wp:posOffset>
            </wp:positionV>
            <wp:extent cx="2804160" cy="2505075"/>
            <wp:effectExtent l="0" t="0" r="15240" b="9525"/>
            <wp:wrapTopAndBottom/>
            <wp:docPr id="6" name="图片 6" descr="eda_purchase_frequenc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eda_purchase_frequency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416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宋体"/>
        </w:rPr>
        <w:t xml:space="preserve">图 </w:t>
      </w:r>
      <w:r>
        <w:rPr>
          <w:rFonts w:hint="eastAsia"/>
          <w:lang w:val="en-US" w:eastAsia="zh-CN"/>
        </w:rPr>
        <w:t>1</w:t>
      </w:r>
      <w:r>
        <w:rPr>
          <w:rFonts w:ascii="Times New Roman" w:hAnsi="Times New Roman" w:eastAsia="宋体"/>
        </w:rPr>
        <w:t>　</w:t>
      </w:r>
      <w:r>
        <w:rPr>
          <w:rFonts w:hint="eastAsia"/>
          <w:lang w:val="en-US" w:eastAsia="zh-CN"/>
        </w:rPr>
        <w:t>客户复购占比</w:t>
      </w:r>
    </w:p>
    <w:p w14:paraId="2D522ABB">
      <w:pPr>
        <w:pStyle w:val="4"/>
      </w:pPr>
      <w:bookmarkStart w:id="3" w:name="_LarkToc00008"/>
      <w:r>
        <w:t>2 大促效应显著，2017 年 11 月为订单峰值</w:t>
      </w:r>
      <w:bookmarkEnd w:id="3"/>
    </w:p>
    <w:p w14:paraId="483FB83B">
      <w:pPr>
        <w:bidi w:val="0"/>
      </w:pPr>
      <w:r>
        <w:t>2017 年 11 月黑五大促创下峰值 7,289 单，约为日常水平 1.6 倍；2018 年稳定在每月 6,000 至 7,000 单，平台进入平稳运营期。</w:t>
      </w:r>
      <w:r>
        <w:rPr>
          <w:rFonts w:hint="eastAsia"/>
        </w:rPr>
        <w:t>建议大促前提前配置运力并校准承诺时间。</w:t>
      </w:r>
    </w:p>
    <w:p w14:paraId="4EE8A28B">
      <w:pPr>
        <w:bidi w:val="0"/>
      </w:pPr>
      <w:r>
        <w:t>大促是平台核心增长事件，</w:t>
      </w:r>
      <w:r>
        <w:rPr>
          <w:rFonts w:hint="eastAsia"/>
        </w:rPr>
        <w:t>需评估大促质量——客单价、超时率与差评率是否劣于日常，避免促销透支体验与口碑。</w:t>
      </w:r>
    </w:p>
    <w:p w14:paraId="2857094D">
      <w:pPr>
        <w:ind w:firstLine="0"/>
        <w:jc w:val="center"/>
      </w:pPr>
      <w:r>
        <w:drawing>
          <wp:inline distT="0" distB="0" distL="114300" distR="114300">
            <wp:extent cx="4667885" cy="1727200"/>
            <wp:effectExtent l="0" t="0" r="1841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7885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91AE1">
      <w:pPr>
        <w:pStyle w:val="15"/>
      </w:pPr>
      <w:r>
        <w:rPr>
          <w:rFonts w:ascii="Times New Roman" w:hAnsi="Times New Roman" w:eastAsia="宋体"/>
        </w:rPr>
        <w:t xml:space="preserve">图 </w:t>
      </w:r>
      <w:r>
        <w:rPr>
          <w:rFonts w:hint="eastAsia"/>
          <w:lang w:val="en-US" w:eastAsia="zh-CN"/>
        </w:rPr>
        <w:t>2</w:t>
      </w:r>
      <w:r>
        <w:rPr>
          <w:rFonts w:ascii="Times New Roman" w:hAnsi="Times New Roman" w:eastAsia="宋体"/>
        </w:rPr>
        <w:t>　月度订单量（2017-01 至 2018-08）</w:t>
      </w:r>
    </w:p>
    <w:p w14:paraId="2F2D058B">
      <w:pPr>
        <w:pStyle w:val="4"/>
      </w:pPr>
      <w:bookmarkStart w:id="4" w:name="_LarkToc00009"/>
      <w:r>
        <w:t>3 品类集中于家居日用，长尾明显</w:t>
      </w:r>
      <w:bookmarkEnd w:id="4"/>
    </w:p>
    <w:p w14:paraId="58541A7F">
      <w:pPr>
        <w:rPr>
          <w:rFonts w:ascii="Times New Roman" w:hAnsi="Times New Roman" w:eastAsia="宋体"/>
          <w:b w:val="0"/>
          <w:sz w:val="21"/>
        </w:rPr>
      </w:pPr>
      <w:r>
        <w:rPr>
          <w:rFonts w:ascii="Times New Roman" w:hAnsi="Times New Roman" w:eastAsia="宋体"/>
          <w:b w:val="0"/>
          <w:sz w:val="21"/>
        </w:rPr>
        <w:t>平台商品结构偏家居生活类，Top 3 品类为家居卫浴（11,115 行）、健康美妆（9,670 行）、运动休闲（8,641 行）。选品与招商策略可围绕高频品类展开，长尾品类（如汽车用品、园艺工具）存在差异化空间。</w:t>
      </w:r>
    </w:p>
    <w:p w14:paraId="524231CC">
      <w:pPr>
        <w:rPr>
          <w:rFonts w:ascii="Times New Roman" w:hAnsi="Times New Roman" w:eastAsia="宋体"/>
          <w:b w:val="0"/>
          <w:sz w:val="21"/>
        </w:rPr>
      </w:pPr>
      <w:r>
        <w:rPr>
          <w:rFonts w:ascii="Times New Roman" w:hAnsi="Times New Roman" w:eastAsia="宋体"/>
          <w:b w:val="0"/>
          <w:sz w:val="21"/>
        </w:rPr>
        <w:t>需进一步做品类与金额的交叉分析，识别订单量大但金额小与订单量小但金额高的品类组合，指导 GMV 结构优化。</w:t>
      </w:r>
    </w:p>
    <w:p w14:paraId="77211418">
      <w:pPr>
        <w:ind w:firstLine="0"/>
        <w:jc w:val="center"/>
      </w:pPr>
      <w:r>
        <w:drawing>
          <wp:inline distT="0" distB="0" distL="114300" distR="114300">
            <wp:extent cx="4675505" cy="2552065"/>
            <wp:effectExtent l="0" t="0" r="1079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5505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A075B">
      <w:pPr>
        <w:pStyle w:val="15"/>
      </w:pPr>
      <w:r>
        <w:rPr>
          <w:rFonts w:ascii="Times New Roman" w:hAnsi="Times New Roman" w:eastAsia="宋体"/>
        </w:rPr>
        <w:t xml:space="preserve">图 </w:t>
      </w:r>
      <w:r>
        <w:rPr>
          <w:rFonts w:hint="eastAsia"/>
          <w:lang w:val="en-US" w:eastAsia="zh-CN"/>
        </w:rPr>
        <w:t>3</w:t>
      </w:r>
      <w:r>
        <w:rPr>
          <w:rFonts w:ascii="Times New Roman" w:hAnsi="Times New Roman" w:eastAsia="宋体"/>
        </w:rPr>
        <w:t>　Top 10 品类</w:t>
      </w:r>
    </w:p>
    <w:p w14:paraId="0A880552">
      <w:pPr>
        <w:pStyle w:val="4"/>
      </w:pPr>
      <w:bookmarkStart w:id="5" w:name="_LarkToc00010"/>
      <w:r>
        <w:t>4 订单高度集中于东南部，SP 一州占 42%</w:t>
      </w:r>
      <w:bookmarkEnd w:id="5"/>
    </w:p>
    <w:p w14:paraId="014FC6B1">
      <w:pPr>
        <w:spacing w:after="40"/>
        <w:ind w:firstLine="420" w:firstLineChars="200"/>
        <w:rPr>
          <w:rFonts w:ascii="Times New Roman" w:hAnsi="Times New Roman" w:eastAsia="宋体"/>
          <w:b w:val="0"/>
          <w:sz w:val="21"/>
        </w:rPr>
      </w:pPr>
      <w:r>
        <w:rPr>
          <w:rFonts w:ascii="Times New Roman" w:hAnsi="Times New Roman" w:eastAsia="宋体"/>
          <w:sz w:val="21"/>
        </w:rPr>
        <w:t>圣保罗州一州占 42%（40,501 单），Top 5 州合计约 75%，订单高度集中于巴西东南部。</w:t>
      </w:r>
      <w:r>
        <w:rPr>
          <w:rFonts w:ascii="Times New Roman" w:hAnsi="Times New Roman" w:eastAsia="宋体"/>
          <w:b w:val="0"/>
          <w:sz w:val="21"/>
        </w:rPr>
        <w:t>物流网络与仓储布局应优先覆盖东南部，非东南部市场则存在增长空间。</w:t>
      </w:r>
    </w:p>
    <w:p w14:paraId="0E9241D6">
      <w:pPr>
        <w:rPr>
          <w:rFonts w:ascii="Times New Roman" w:hAnsi="Times New Roman" w:eastAsia="宋体"/>
          <w:b w:val="0"/>
          <w:sz w:val="21"/>
        </w:rPr>
      </w:pPr>
      <w:r>
        <w:rPr>
          <w:rFonts w:ascii="Times New Roman" w:hAnsi="Times New Roman" w:eastAsia="宋体"/>
          <w:b w:val="0"/>
          <w:sz w:val="21"/>
        </w:rPr>
        <w:t>需进一步按客户州与卖家州拆解配送时效，验证超时是否与跨州距离相关，为履约归因提供地理维度证据。</w:t>
      </w:r>
    </w:p>
    <w:p w14:paraId="701A0AC8">
      <w:pPr>
        <w:ind w:firstLine="0"/>
        <w:jc w:val="center"/>
      </w:pPr>
      <w:r>
        <w:drawing>
          <wp:inline distT="0" distB="0" distL="114300" distR="114300">
            <wp:extent cx="4690745" cy="2566670"/>
            <wp:effectExtent l="0" t="0" r="1460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0745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ACD71">
      <w:pPr>
        <w:pStyle w:val="15"/>
      </w:pPr>
      <w:r>
        <w:rPr>
          <w:rFonts w:ascii="Times New Roman" w:hAnsi="Times New Roman" w:eastAsia="宋体"/>
        </w:rPr>
        <w:t xml:space="preserve">图 </w:t>
      </w:r>
      <w:r>
        <w:rPr>
          <w:rFonts w:hint="eastAsia"/>
          <w:lang w:val="en-US" w:eastAsia="zh-CN"/>
        </w:rPr>
        <w:t>4</w:t>
      </w:r>
      <w:r>
        <w:rPr>
          <w:rFonts w:ascii="Times New Roman" w:hAnsi="Times New Roman" w:eastAsia="宋体"/>
        </w:rPr>
        <w:t>　Top 10 客户所在州（按订单量）</w:t>
      </w:r>
    </w:p>
    <w:p w14:paraId="02E7BE9B">
      <w:pPr>
        <w:pStyle w:val="4"/>
      </w:pPr>
      <w:bookmarkStart w:id="6" w:name="_LarkToc00011"/>
      <w:r>
        <w:t>5 平均配送 12.1 天，7.6% 的订单超时</w:t>
      </w:r>
      <w:bookmarkEnd w:id="6"/>
    </w:p>
    <w:p w14:paraId="03789E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firstLine="420" w:firstLineChars="200"/>
        <w:textAlignment w:val="auto"/>
      </w:pPr>
      <w:r>
        <w:rPr>
          <w:rFonts w:ascii="Times New Roman" w:hAnsi="Times New Roman" w:eastAsia="宋体"/>
          <w:sz w:val="21"/>
        </w:rPr>
        <w:t>配送中位数 10 天、平均 12.1 天，</w:t>
      </w:r>
      <w:r>
        <w:rPr>
          <w:rFonts w:ascii="Times New Roman" w:hAnsi="Times New Roman" w:eastAsia="宋体"/>
          <w:b w:val="0"/>
          <w:sz w:val="21"/>
        </w:rPr>
        <w:t>7,307 单</w:t>
      </w:r>
      <w:r>
        <w:rPr>
          <w:rFonts w:hint="eastAsia"/>
          <w:b w:val="0"/>
          <w:sz w:val="21"/>
          <w:lang w:val="en-US" w:eastAsia="zh-CN"/>
        </w:rPr>
        <w:t>(</w:t>
      </w:r>
      <w:r>
        <w:rPr>
          <w:rFonts w:ascii="Times New Roman" w:hAnsi="Times New Roman" w:eastAsia="宋体"/>
          <w:sz w:val="21"/>
        </w:rPr>
        <w:t xml:space="preserve">7.6% </w:t>
      </w:r>
      <w:r>
        <w:rPr>
          <w:rFonts w:hint="eastAsia"/>
          <w:sz w:val="21"/>
          <w:lang w:val="en-US" w:eastAsia="zh-CN"/>
        </w:rPr>
        <w:t>)</w:t>
      </w:r>
      <w:r>
        <w:rPr>
          <w:rFonts w:ascii="Times New Roman" w:hAnsi="Times New Roman" w:eastAsia="宋体"/>
          <w:sz w:val="21"/>
        </w:rPr>
        <w:t>的订单实际送达晚于承诺，时效是客户体验的主要短板。</w:t>
      </w:r>
    </w:p>
    <w:p w14:paraId="768553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firstLine="420" w:firstLineChars="200"/>
        <w:textAlignment w:val="auto"/>
        <w:rPr>
          <w:rFonts w:ascii="Times New Roman" w:hAnsi="Times New Roman" w:eastAsia="宋体"/>
          <w:b w:val="0"/>
          <w:sz w:val="21"/>
        </w:rPr>
      </w:pPr>
      <w:r>
        <w:rPr>
          <w:rFonts w:ascii="Times New Roman" w:hAnsi="Times New Roman" w:eastAsia="宋体"/>
          <w:b w:val="0"/>
          <w:sz w:val="21"/>
        </w:rPr>
        <w:t>准时率应作为履约核心指标纳入监控，并进一步定位超时集中在哪些州、品类与卖家，区分是承诺时间设置不合理还是物流环节延误。</w:t>
      </w:r>
    </w:p>
    <w:p w14:paraId="4260BFEA">
      <w:pPr>
        <w:ind w:firstLine="0"/>
        <w:jc w:val="center"/>
      </w:pPr>
      <w:r>
        <w:drawing>
          <wp:inline distT="0" distB="0" distL="114300" distR="114300">
            <wp:extent cx="4859655" cy="2367915"/>
            <wp:effectExtent l="0" t="0" r="17145" b="133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36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A4A85">
      <w:pPr>
        <w:pStyle w:val="15"/>
      </w:pPr>
      <w:r>
        <w:rPr>
          <w:rFonts w:ascii="Times New Roman" w:hAnsi="Times New Roman" w:eastAsia="宋体"/>
        </w:rPr>
        <w:t xml:space="preserve">图 </w:t>
      </w:r>
      <w:r>
        <w:rPr>
          <w:rFonts w:hint="eastAsia"/>
          <w:lang w:val="en-US" w:eastAsia="zh-CN"/>
        </w:rPr>
        <w:t>5</w:t>
      </w:r>
      <w:r>
        <w:rPr>
          <w:rFonts w:ascii="Times New Roman" w:hAnsi="Times New Roman" w:eastAsia="宋体"/>
        </w:rPr>
        <w:t>　交付天数分布</w:t>
      </w:r>
    </w:p>
    <w:p w14:paraId="2152FCED">
      <w:pPr>
        <w:pStyle w:val="4"/>
      </w:pPr>
      <w:bookmarkStart w:id="7" w:name="_LarkToc00012"/>
      <w:r>
        <w:t>6 超时</w:t>
      </w:r>
      <w:r>
        <w:rPr>
          <w:rFonts w:hint="eastAsia"/>
          <w:lang w:val="en-US" w:eastAsia="zh-CN"/>
        </w:rPr>
        <w:t>影响</w:t>
      </w:r>
      <w:r>
        <w:t>满意度：评分从 4.29 跌至 2.46</w:t>
      </w:r>
      <w:bookmarkEnd w:id="7"/>
    </w:p>
    <w:p w14:paraId="0B1D672A">
      <w:pPr>
        <w:rPr>
          <w:rFonts w:ascii="Times New Roman" w:hAnsi="Times New Roman" w:eastAsia="宋体"/>
          <w:b w:val="0"/>
          <w:sz w:val="21"/>
        </w:rPr>
      </w:pPr>
      <w:r>
        <w:rPr>
          <w:rFonts w:ascii="Times New Roman" w:hAnsi="Times New Roman" w:eastAsia="宋体"/>
          <w:sz w:val="21"/>
        </w:rPr>
        <w:t>评分两极：5 星占 57%（56,704 单）、1 星占 9.4%；准时订单平均 4.29 分，超时订单仅 2.46 分</w:t>
      </w:r>
      <w:r>
        <w:rPr>
          <w:rFonts w:hint="eastAsia"/>
          <w:sz w:val="21"/>
          <w:lang w:eastAsia="zh-CN"/>
        </w:rPr>
        <w:t>，相差 1.83 分。</w:t>
      </w:r>
      <w:r>
        <w:rPr>
          <w:rFonts w:ascii="Times New Roman" w:hAnsi="Times New Roman" w:eastAsia="宋体"/>
          <w:b w:val="0"/>
          <w:sz w:val="21"/>
        </w:rPr>
        <w:t>低分评论大概率来自履约问题，改善时效是提升评分与复购意愿投入产出比最高的动作。</w:t>
      </w:r>
    </w:p>
    <w:p w14:paraId="03685172">
      <w:pPr>
        <w:rPr>
          <w:rFonts w:ascii="Times New Roman" w:hAnsi="Times New Roman" w:eastAsia="宋体"/>
          <w:b w:val="0"/>
          <w:sz w:val="21"/>
        </w:rPr>
      </w:pPr>
      <w:r>
        <w:rPr>
          <w:rFonts w:ascii="Times New Roman" w:hAnsi="Times New Roman" w:eastAsia="宋体"/>
          <w:b w:val="0"/>
          <w:sz w:val="21"/>
        </w:rPr>
        <w:t>可进一步对低分评语做文本挖掘验证归因，并检验高评分客户是否更可能复购，为复购预测模型提供体验类特征。</w:t>
      </w:r>
    </w:p>
    <w:p w14:paraId="3A5A70E9">
      <w:pPr>
        <w:ind w:firstLine="0"/>
        <w:jc w:val="center"/>
      </w:pPr>
      <w:r>
        <w:drawing>
          <wp:inline distT="0" distB="0" distL="114300" distR="114300">
            <wp:extent cx="4697730" cy="2630170"/>
            <wp:effectExtent l="0" t="0" r="7620" b="177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773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440BB">
      <w:pPr>
        <w:pStyle w:val="15"/>
      </w:pPr>
      <w:r>
        <w:rPr>
          <w:rFonts w:ascii="Times New Roman" w:hAnsi="Times New Roman" w:eastAsia="宋体"/>
        </w:rPr>
        <w:t xml:space="preserve">图 </w:t>
      </w:r>
      <w:r>
        <w:rPr>
          <w:rFonts w:hint="eastAsia"/>
          <w:lang w:val="en-US" w:eastAsia="zh-CN"/>
        </w:rPr>
        <w:t>6</w:t>
      </w:r>
      <w:r>
        <w:rPr>
          <w:rFonts w:ascii="Times New Roman" w:hAnsi="Times New Roman" w:eastAsia="宋体"/>
        </w:rPr>
        <w:t>　评论评分分布（1-5 星）</w:t>
      </w:r>
    </w:p>
    <w:sectPr>
      <w:footerReference r:id="rId5" w:type="default"/>
      <w:pgSz w:w="11906" w:h="16838"/>
      <w:pgMar w:top="1417" w:right="1417" w:bottom="1417" w:left="141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HakusyuKaisyo_k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akusyuKaisyo_kk">
    <w:panose1 w:val="02000609000000000000"/>
    <w:charset w:val="80"/>
    <w:family w:val="auto"/>
    <w:pitch w:val="default"/>
    <w:sig w:usb0="A00002BF" w:usb1="68C7FCFB" w:usb2="00000010" w:usb3="00000000" w:csb0="4002009F" w:csb1="DFD7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HakusyuKaisyo_kk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DAFDFA">
    <w:pPr>
      <w:pStyle w:val="24"/>
      <w:jc w:val="center"/>
    </w:pPr>
    <w:r>
      <w:fldChar w:fldCharType="begin"/>
    </w:r>
    <w:r>
      <w:instrText xml:space="preserve">PAGE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303B760E"/>
    <w:multiLevelType w:val="singleLevel"/>
    <w:tmpl w:val="303B760E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fficeWordTocPaginationV1" w:val="v5:4cfe27405682a6f76ec3d34ef672a16e87e9f26a1388d196f1446db167902b62:2d0392b2d06435fca7ca888c559c4b5bf3c4a7d442bc06e2ee2a80b1da8ec30c:181ec8014661c057aab110b37500434f73c26cdbd23835ba776ab4666c869fb4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937C68"/>
    <w:rsid w:val="1EB47989"/>
    <w:rsid w:val="237A2288"/>
    <w:rsid w:val="4A7B2721"/>
    <w:rsid w:val="78D27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  <w:ind w:firstLine="482"/>
      <w:jc w:val="both"/>
    </w:pPr>
    <w:rPr>
      <w:rFonts w:ascii="Times New Roman" w:hAnsi="Times New Roman" w:eastAsia="宋体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20" w:after="20" w:line="100" w:lineRule="atLeast"/>
      <w:ind w:firstLine="0"/>
      <w:outlineLvl w:val="0"/>
    </w:pPr>
    <w:rPr>
      <w:rFonts w:eastAsia="微软雅黑"/>
      <w:b/>
      <w:bCs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100" w:after="60" w:line="360" w:lineRule="exact"/>
      <w:ind w:firstLine="0"/>
      <w:outlineLvl w:val="1"/>
    </w:pPr>
    <w:rPr>
      <w:rFonts w:eastAsia="微软雅黑"/>
      <w:b/>
      <w:bCs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before="80" w:after="120" w:line="240" w:lineRule="auto"/>
      <w:ind w:firstLine="0"/>
      <w:jc w:val="center"/>
    </w:pPr>
    <w:rPr>
      <w:rFonts w:ascii="Times New Roman" w:hAnsi="Times New Roman" w:eastAsia="宋体"/>
      <w:bCs/>
      <w:color w:val="000000"/>
      <w:sz w:val="21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qFormat/>
    <w:uiPriority w:val="39"/>
    <w:pPr>
      <w:spacing w:line="240" w:lineRule="auto"/>
      <w:ind w:firstLine="0" w:firstLineChars="0"/>
    </w:pPr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qFormat/>
    <w:uiPriority w:val="39"/>
    <w:pPr>
      <w:spacing w:line="240" w:lineRule="auto"/>
      <w:ind w:left="420" w:leftChars="200" w:firstLine="0" w:firstLineChars="0"/>
    </w:pPr>
  </w:style>
  <w:style w:type="paragraph" w:styleId="30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qFormat/>
    <w:uiPriority w:val="99"/>
  </w:style>
  <w:style w:type="character" w:customStyle="1" w:styleId="138">
    <w:name w:val="Footer Char"/>
    <w:basedOn w:val="134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eastAsia="微软雅黑" w:asciiTheme="majorHAnsi" w:hAnsiTheme="majorHAnsi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eastAsia="微软雅黑" w:asciiTheme="majorHAnsi" w:hAnsiTheme="majorHAnsi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qFormat/>
    <w:uiPriority w:val="99"/>
  </w:style>
  <w:style w:type="character" w:customStyle="1" w:styleId="147">
    <w:name w:val="Body Text 2 Char"/>
    <w:basedOn w:val="134"/>
    <w:link w:val="30"/>
    <w:qFormat/>
    <w:uiPriority w:val="99"/>
  </w:style>
  <w:style w:type="character" w:customStyle="1" w:styleId="148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1493</Words>
  <Characters>1790</Characters>
  <Lines>0</Lines>
  <Paragraphs>0</Paragraphs>
  <TotalTime>2</TotalTime>
  <ScaleCrop>false</ScaleCrop>
  <LinksUpToDate>false</LinksUpToDate>
  <CharactersWithSpaces>1937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董心雅</cp:lastModifiedBy>
  <dcterms:modified xsi:type="dcterms:W3CDTF">2026-09-22T13:50:02Z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eyJoZGlkIjoiY2ZlYTViN2EyMDRiNzY1MjI0NTAzNWYyODgwYjkxOTciLCJ1c2VySWQiOiIxNjY3NzAzMTMzIn0=</vt:lpwstr>
  </property>
  <property fmtid="{D5CDD505-2E9C-101B-9397-08002B2CF9AE}" pid="3" name="KSOProductBuildVer">
    <vt:lpwstr>2052-12.1.0.28043</vt:lpwstr>
  </property>
  <property fmtid="{D5CDD505-2E9C-101B-9397-08002B2CF9AE}" pid="4" name="ICV">
    <vt:lpwstr>33C09D7FAAD24D459B1718C93DF8C6C1_12</vt:lpwstr>
  </property>
</Properties>
</file>