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68594"/>
    <w:p w14:paraId="475A2994"/>
    <w:p w14:paraId="2CE33A27"/>
    <w:p w14:paraId="50186264"/>
    <w:p w14:paraId="2500332C"/>
    <w:p w14:paraId="5CC4ACB5"/>
    <w:p w14:paraId="18C012A2">
      <w:pPr>
        <w:jc w:val="center"/>
      </w:pPr>
      <w:r>
        <w:rPr>
          <w:b/>
          <w:sz w:val="36"/>
        </w:rPr>
        <w:t>산업 5.0을 위한 AI 모델 거래 시장:</w:t>
      </w:r>
    </w:p>
    <w:p w14:paraId="6F2D9493">
      <w:pPr>
        <w:jc w:val="center"/>
      </w:pPr>
      <w:r>
        <w:rPr>
          <w:b/>
          <w:sz w:val="36"/>
        </w:rPr>
        <w:t>건축 설계 및 인센티브 메커니즘에 관한 연구</w:t>
      </w:r>
    </w:p>
    <w:p w14:paraId="031DBFA4"/>
    <w:p w14:paraId="07BE70FC">
      <w:pPr>
        <w:jc w:val="center"/>
      </w:pPr>
      <w:r>
        <w:rPr>
          <w:sz w:val="24"/>
        </w:rPr>
        <w:t>산업 5.0을 위한 AI 모델 교환 시장:</w:t>
      </w:r>
    </w:p>
    <w:p w14:paraId="014BB9D3">
      <w:pPr>
        <w:jc w:val="center"/>
      </w:pPr>
      <w:r>
        <w:rPr>
          <w:sz w:val="24"/>
        </w:rPr>
        <w:t>건축 설계 및 인센티브 메커니즘 연구</w:t>
      </w:r>
    </w:p>
    <w:p w14:paraId="1A973421"/>
    <w:p w14:paraId="191A1D63"/>
    <w:p w14:paraId="7FD1AD34"/>
    <w:p w14:paraId="16759036"/>
    <w:p w14:paraId="6AE63247">
      <w:pPr>
        <w:jc w:val="center"/>
      </w:pPr>
      <w:r>
        <w:rPr>
          <w:sz w:val="24"/>
        </w:rPr>
        <w:t>저자 이름: 셰옌난</w:t>
      </w:r>
    </w:p>
    <w:p w14:paraId="4B349C8E">
      <w:pPr>
        <w:jc w:val="center"/>
        <w:rPr>
          <w:sz w:val="24"/>
        </w:rPr>
      </w:pPr>
      <w:r>
        <w:rPr>
          <w:sz w:val="24"/>
        </w:rPr>
        <w:t>학생 ID: 50250321</w:t>
      </w:r>
    </w:p>
    <w:p w14:paraId="6CC0AC31">
      <w:pPr>
        <w:jc w:val="center"/>
        <w:rPr>
          <w:rFonts w:hint="eastAsia" w:eastAsia="宋体"/>
          <w:sz w:val="24"/>
          <w:lang w:eastAsia="zh-CN"/>
        </w:rPr>
      </w:pPr>
      <w:r>
        <w:rPr>
          <w:rFonts w:hint="eastAsia"/>
          <w:sz w:val="24"/>
        </w:rPr>
        <w:t>지도 교수</w:t>
      </w:r>
      <w:r>
        <w:rPr>
          <w:rFonts w:hint="eastAsia"/>
          <w:sz w:val="24"/>
          <w:lang w:eastAsia="zh-CN"/>
        </w:rPr>
        <w:t>：</w:t>
      </w:r>
      <w:r>
        <w:rPr>
          <w:rFonts w:hint="default"/>
          <w:sz w:val="24"/>
        </w:rPr>
        <w:fldChar w:fldCharType="begin"/>
      </w:r>
      <w:r>
        <w:rPr>
          <w:rFonts w:hint="default"/>
          <w:sz w:val="24"/>
        </w:rPr>
        <w:instrText xml:space="preserve"> HYPERLINK "https://canvas.ysu.ac.kr/courses/13228/users/20602" </w:instrText>
      </w:r>
      <w:r>
        <w:rPr>
          <w:rFonts w:hint="default"/>
          <w:sz w:val="24"/>
        </w:rPr>
        <w:fldChar w:fldCharType="separate"/>
      </w:r>
      <w:r>
        <w:rPr>
          <w:rFonts w:hint="default"/>
          <w:sz w:val="24"/>
        </w:rPr>
        <w:t>백건효</w:t>
      </w:r>
      <w:r>
        <w:rPr>
          <w:rFonts w:hint="default"/>
          <w:sz w:val="24"/>
        </w:rPr>
        <w:fldChar w:fldCharType="end"/>
      </w:r>
    </w:p>
    <w:p w14:paraId="04A9F979">
      <w:r>
        <w:br w:type="page"/>
      </w:r>
    </w:p>
    <w:p w14:paraId="643E2EAB">
      <w:pPr>
        <w:pStyle w:val="3"/>
      </w:pPr>
      <w:bookmarkStart w:id="0" w:name="_Toc11794"/>
      <w:r>
        <w:t>요약</w:t>
      </w:r>
      <w:bookmarkEnd w:id="0"/>
    </w:p>
    <w:p w14:paraId="15D46477">
      <w:r>
        <w:t>인간 중심성, 지속가능성, 회복탄력성을 핵심 가치로 삼는 인더스트리 5.0은 인간과 기계 간의 심층적인 통합 및 협업을 목표로 합니다. 이러한 패러다임 전환 속에서 엣지 디바이스에서 학습된 AI 모델은 기업의 핵심 디지털 자산으로 자리 잡았습니다. 안전하고 공정하며 효율적인 모델 공유 및 거래 시스템 구축은 학계 연구와 산업 현장 모두에서 중요한 과제로 떠올랐습니다.</w:t>
      </w:r>
    </w:p>
    <w:p w14:paraId="4E4B6869">
      <w:r>
        <w:t>기존의 AI 모델 플랫폼(예: HuggingFace, ModelScope)은 주로 오픈소스 모델의 공개 및 다운로드에 초점을 맞추고 있어, 상업적 거래 메커니즘, 산업 수준의 품질 검증, 지적 재산권 보호, 참여자에 대한 공정한 인센티브 제공 등에서 상당한 한계를 보인다. 본 연구는 이러한 문제점을 해결하기 위해 산업 5.0 환경에 적합한 AI 모델 거래 시장 아키텍처 및 인센티브 메커니즘을 체계적으로 제안하고, 프로토타입 시스템 구현 및 다차원 실험을 통해 종합적인 검증을 수행한다.</w:t>
      </w:r>
    </w:p>
    <w:p w14:paraId="7BEE3F52">
      <w:r>
        <w:t>본 논문은 아키텍처 설계 측면에서 엣지 컴퓨팅, 연합 학습, 블록체인, 차분 프라이버시, 안전한 다자간 컴퓨팅과 같은 핵심 기술을 유기적으로 통합한 5계층 하이브리드 아키텍처를 제안합니다. 메커니즘 설계 측면에서는 계약 이론에 기반한 3단계 품질 계약 메뉴를 구축하여 정보 비대칭 문제를 해결하고, 샤플리 값을 도입하여 다차원적 기여도 평가 및 공정한 이익 분배를 실현합니다. 실험 결과, 제안된 방법은 비독립동일분포(Non-IID) 데이터 환경에서 연합 학습 평균(FedAvg) 대비 최대 3.17%포인트의 정확도 향상을 보여줍니다. 샤플리 값 기반의 인센티브 메커니즘은 지니 계수를 0.285로 감소시켜(인센티브가 없는 방식 대비 41.5% 감소) 안정적인 성능을 나타냅니다. 차분 프라이버시(ε=1.0)를 적용함으로써 구성원 추론 공격의 성공률을 68.3%에서 12.3%로 낮추는 동시에, 100개 노드 환경에서 820 TPS의 처리량과 95.8%의 트랜잭션 성공률을 안정적으로 유지합니다.</w:t>
      </w:r>
    </w:p>
    <w:p w14:paraId="2DA23EA0">
      <w:r>
        <w:t>본 연구는 산업 5.0의 분산 협업 패러다임 하에서 AI 모델 거래 시장을 위한 완전한 이론적 틀, 아키텍처 설계 방안 및 실험적 검증을 제공하며, 이는 안전하고 공정하며 지속 가능한 산업 AI 생태계 구축을 촉진하는 데 중요한 이론적 가치와 실질적인 지침을 제공한다.</w:t>
      </w:r>
    </w:p>
    <w:p w14:paraId="0BF576E8">
      <w:r>
        <w:rPr>
          <w:b/>
        </w:rPr>
        <w:t>핵심어: 인더스트리 5.0; AI 모델 거래 시장; 연합 학습; 블록체인; 인센티브 메커니즘; 차분 프라이버시; 샤플리 값</w:t>
      </w:r>
    </w:p>
    <w:p w14:paraId="370DD3E9">
      <w:r>
        <w:br w:type="page"/>
      </w:r>
    </w:p>
    <w:sdt>
      <w:sdtPr>
        <w:rPr>
          <w:rFonts w:ascii="宋体" w:hAnsi="宋体" w:eastAsia="宋体" w:cstheme="minorBidi"/>
          <w:sz w:val="21"/>
          <w:szCs w:val="22"/>
          <w:lang w:val="en-US" w:eastAsia="en-US" w:bidi="ar-SA"/>
        </w:rPr>
        <w:id w:val="14747956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21BC209C">
          <w:pPr>
            <w:spacing w:before="0" w:beforeLines="0" w:after="0" w:afterLines="0" w:line="240" w:lineRule="auto"/>
            <w:ind w:left="0" w:leftChars="0" w:right="0" w:rightChars="0" w:firstLine="0" w:firstLineChars="0"/>
            <w:jc w:val="center"/>
          </w:pPr>
          <w:r>
            <w:rPr>
              <w:rFonts w:ascii="宋体" w:hAnsi="宋体" w:eastAsia="宋体"/>
              <w:sz w:val="36"/>
              <w:szCs w:val="36"/>
            </w:rPr>
            <w:t>목차</w:t>
          </w:r>
        </w:p>
        <w:p w14:paraId="63CFEA8B">
          <w:pPr>
            <w:pStyle w:val="27"/>
            <w:tabs>
              <w:tab w:val="right" w:leader="dot" w:pos="8640"/>
            </w:tabs>
          </w:pPr>
          <w:r>
            <w:fldChar w:fldCharType="begin"/>
          </w:r>
          <w:r>
            <w:instrText xml:space="preserve">TOC \o "1-3" \h \u </w:instrText>
          </w:r>
          <w:r>
            <w:fldChar w:fldCharType="separate"/>
          </w:r>
          <w:r>
            <w:fldChar w:fldCharType="begin"/>
          </w:r>
          <w:r>
            <w:instrText xml:space="preserve"> HYPERLINK \l _Toc13047 </w:instrText>
          </w:r>
          <w:r>
            <w:fldChar w:fldCharType="separate"/>
          </w:r>
          <w:r>
            <w:rPr>
              <w:rFonts w:hint="eastAsia" w:ascii="仿宋" w:hAnsi="仿宋" w:eastAsia="仿宋" w:cs="仿宋"/>
              <w:szCs w:val="36"/>
            </w:rPr>
            <w:t xml:space="preserve">제1장 서론 </w:t>
          </w:r>
          <w:r>
            <w:tab/>
          </w:r>
          <w:r>
            <w:fldChar w:fldCharType="begin"/>
          </w:r>
          <w:r>
            <w:instrText xml:space="preserve"> PAGEREF _Toc13047 \h </w:instrText>
          </w:r>
          <w:r>
            <w:fldChar w:fldCharType="separate"/>
          </w:r>
          <w:r>
            <w:t>7</w:t>
          </w:r>
          <w:r>
            <w:fldChar w:fldCharType="end"/>
          </w:r>
          <w:r>
            <w:fldChar w:fldCharType="end"/>
          </w:r>
        </w:p>
        <w:p w14:paraId="5D09B88A">
          <w:pPr>
            <w:pStyle w:val="30"/>
            <w:tabs>
              <w:tab w:val="right" w:leader="dot" w:pos="8640"/>
            </w:tabs>
          </w:pPr>
          <w:r>
            <w:fldChar w:fldCharType="begin"/>
          </w:r>
          <w:r>
            <w:instrText xml:space="preserve"> HYPERLINK \l _Toc16311 </w:instrText>
          </w:r>
          <w:r>
            <w:fldChar w:fldCharType="separate"/>
          </w:r>
          <w:r>
            <w:rPr>
              <w:rFonts w:hint="eastAsia" w:ascii="仿宋" w:hAnsi="仿宋" w:eastAsia="仿宋" w:cs="仿宋"/>
            </w:rPr>
            <w:t xml:space="preserve">1.1 연구 배경 및 중요성 </w:t>
          </w:r>
          <w:r>
            <w:tab/>
          </w:r>
          <w:r>
            <w:fldChar w:fldCharType="begin"/>
          </w:r>
          <w:r>
            <w:instrText xml:space="preserve"> PAGEREF _Toc16311 \h </w:instrText>
          </w:r>
          <w:r>
            <w:fldChar w:fldCharType="separate"/>
          </w:r>
          <w:r>
            <w:t>7</w:t>
          </w:r>
          <w:r>
            <w:fldChar w:fldCharType="end"/>
          </w:r>
          <w:r>
            <w:fldChar w:fldCharType="end"/>
          </w:r>
        </w:p>
        <w:p w14:paraId="3E79ED1D">
          <w:pPr>
            <w:pStyle w:val="24"/>
            <w:tabs>
              <w:tab w:val="right" w:leader="dot" w:pos="8640"/>
            </w:tabs>
          </w:pPr>
          <w:r>
            <w:fldChar w:fldCharType="begin"/>
          </w:r>
          <w:r>
            <w:instrText xml:space="preserve"> HYPERLINK \l _Toc27872 </w:instrText>
          </w:r>
          <w:r>
            <w:fldChar w:fldCharType="separate"/>
          </w:r>
          <w:r>
            <w:rPr>
              <w:rFonts w:hint="eastAsia" w:ascii="仿宋" w:hAnsi="仿宋" w:eastAsia="仿宋" w:cs="仿宋"/>
            </w:rPr>
            <w:t xml:space="preserve">1.1.1 5.0 산업과 인간-기계 협업의 발전 동향 </w:t>
          </w:r>
          <w:r>
            <w:tab/>
          </w:r>
          <w:r>
            <w:fldChar w:fldCharType="begin"/>
          </w:r>
          <w:r>
            <w:instrText xml:space="preserve"> PAGEREF _Toc27872 \h </w:instrText>
          </w:r>
          <w:r>
            <w:fldChar w:fldCharType="separate"/>
          </w:r>
          <w:r>
            <w:t>7</w:t>
          </w:r>
          <w:r>
            <w:fldChar w:fldCharType="end"/>
          </w:r>
          <w:r>
            <w:fldChar w:fldCharType="end"/>
          </w:r>
        </w:p>
        <w:p w14:paraId="7900C0D9">
          <w:pPr>
            <w:pStyle w:val="24"/>
            <w:tabs>
              <w:tab w:val="right" w:leader="dot" w:pos="8640"/>
            </w:tabs>
          </w:pPr>
          <w:r>
            <w:fldChar w:fldCharType="begin"/>
          </w:r>
          <w:r>
            <w:instrText xml:space="preserve"> HYPERLINK \l _Toc14880 </w:instrText>
          </w:r>
          <w:r>
            <w:fldChar w:fldCharType="separate"/>
          </w:r>
          <w:r>
            <w:rPr>
              <w:rFonts w:hint="eastAsia" w:ascii="仿宋" w:hAnsi="仿宋" w:eastAsia="仿宋" w:cs="仿宋"/>
            </w:rPr>
            <w:t xml:space="preserve">1.1.2 AI 모델 트레이딩 시장의 부상 </w:t>
          </w:r>
          <w:r>
            <w:tab/>
          </w:r>
          <w:r>
            <w:fldChar w:fldCharType="begin"/>
          </w:r>
          <w:r>
            <w:instrText xml:space="preserve"> PAGEREF _Toc14880 \h </w:instrText>
          </w:r>
          <w:r>
            <w:fldChar w:fldCharType="separate"/>
          </w:r>
          <w:r>
            <w:t>7</w:t>
          </w:r>
          <w:r>
            <w:fldChar w:fldCharType="end"/>
          </w:r>
          <w:r>
            <w:fldChar w:fldCharType="end"/>
          </w:r>
        </w:p>
        <w:p w14:paraId="3B7D0F41">
          <w:pPr>
            <w:pStyle w:val="24"/>
            <w:tabs>
              <w:tab w:val="right" w:leader="dot" w:pos="8640"/>
            </w:tabs>
          </w:pPr>
          <w:r>
            <w:fldChar w:fldCharType="begin"/>
          </w:r>
          <w:r>
            <w:instrText xml:space="preserve"> HYPERLINK \l _Toc10078 </w:instrText>
          </w:r>
          <w:r>
            <w:fldChar w:fldCharType="separate"/>
          </w:r>
          <w:r>
            <w:rPr>
              <w:rFonts w:hint="eastAsia" w:ascii="仿宋" w:hAnsi="仿宋" w:eastAsia="仿宋" w:cs="仿宋"/>
            </w:rPr>
            <w:t xml:space="preserve">1.1.3 연구의 필요성 </w:t>
          </w:r>
          <w:r>
            <w:tab/>
          </w:r>
          <w:r>
            <w:fldChar w:fldCharType="begin"/>
          </w:r>
          <w:r>
            <w:instrText xml:space="preserve"> PAGEREF _Toc10078 \h </w:instrText>
          </w:r>
          <w:r>
            <w:fldChar w:fldCharType="separate"/>
          </w:r>
          <w:r>
            <w:t>8</w:t>
          </w:r>
          <w:r>
            <w:fldChar w:fldCharType="end"/>
          </w:r>
          <w:r>
            <w:fldChar w:fldCharType="end"/>
          </w:r>
        </w:p>
        <w:p w14:paraId="0B07853A">
          <w:pPr>
            <w:pStyle w:val="30"/>
            <w:tabs>
              <w:tab w:val="right" w:leader="dot" w:pos="8640"/>
            </w:tabs>
          </w:pPr>
          <w:r>
            <w:fldChar w:fldCharType="begin"/>
          </w:r>
          <w:r>
            <w:instrText xml:space="preserve"> HYPERLINK \l _Toc10006 </w:instrText>
          </w:r>
          <w:r>
            <w:fldChar w:fldCharType="separate"/>
          </w:r>
          <w:r>
            <w:rPr>
              <w:rFonts w:hint="eastAsia" w:ascii="仿宋" w:hAnsi="仿宋" w:eastAsia="仿宋" w:cs="仿宋"/>
            </w:rPr>
            <w:t xml:space="preserve">1.2 국내외 연구 현황 </w:t>
          </w:r>
          <w:r>
            <w:tab/>
          </w:r>
          <w:r>
            <w:fldChar w:fldCharType="begin"/>
          </w:r>
          <w:r>
            <w:instrText xml:space="preserve"> PAGEREF _Toc10006 \h </w:instrText>
          </w:r>
          <w:r>
            <w:fldChar w:fldCharType="separate"/>
          </w:r>
          <w:r>
            <w:t>9</w:t>
          </w:r>
          <w:r>
            <w:fldChar w:fldCharType="end"/>
          </w:r>
          <w:r>
            <w:fldChar w:fldCharType="end"/>
          </w:r>
        </w:p>
        <w:p w14:paraId="2D0E6A76">
          <w:pPr>
            <w:pStyle w:val="24"/>
            <w:tabs>
              <w:tab w:val="right" w:leader="dot" w:pos="8640"/>
            </w:tabs>
          </w:pPr>
          <w:r>
            <w:fldChar w:fldCharType="begin"/>
          </w:r>
          <w:r>
            <w:instrText xml:space="preserve"> HYPERLINK \l _Toc15940 </w:instrText>
          </w:r>
          <w:r>
            <w:fldChar w:fldCharType="separate"/>
          </w:r>
          <w:r>
            <w:rPr>
              <w:rFonts w:hint="eastAsia" w:ascii="仿宋" w:hAnsi="仿宋" w:eastAsia="仿宋" w:cs="仿宋"/>
            </w:rPr>
            <w:t xml:space="preserve">1.2.1 연합 학습 및 분산 모델 훈련 </w:t>
          </w:r>
          <w:r>
            <w:tab/>
          </w:r>
          <w:r>
            <w:fldChar w:fldCharType="begin"/>
          </w:r>
          <w:r>
            <w:instrText xml:space="preserve"> PAGEREF _Toc15940 \h </w:instrText>
          </w:r>
          <w:r>
            <w:fldChar w:fldCharType="separate"/>
          </w:r>
          <w:r>
            <w:t>9</w:t>
          </w:r>
          <w:r>
            <w:fldChar w:fldCharType="end"/>
          </w:r>
          <w:r>
            <w:fldChar w:fldCharType="end"/>
          </w:r>
        </w:p>
        <w:p w14:paraId="26817A13">
          <w:pPr>
            <w:pStyle w:val="24"/>
            <w:tabs>
              <w:tab w:val="right" w:leader="dot" w:pos="8640"/>
            </w:tabs>
          </w:pPr>
          <w:r>
            <w:fldChar w:fldCharType="begin"/>
          </w:r>
          <w:r>
            <w:instrText xml:space="preserve"> HYPERLINK \l _Toc12200 </w:instrText>
          </w:r>
          <w:r>
            <w:fldChar w:fldCharType="separate"/>
          </w:r>
          <w:r>
            <w:rPr>
              <w:rFonts w:hint="eastAsia" w:ascii="仿宋" w:hAnsi="仿宋" w:eastAsia="仿宋" w:cs="仿宋"/>
            </w:rPr>
            <w:t xml:space="preserve">1.2.2 AI 모델 시장 및 거래 플랫폼 </w:t>
          </w:r>
          <w:r>
            <w:tab/>
          </w:r>
          <w:r>
            <w:fldChar w:fldCharType="begin"/>
          </w:r>
          <w:r>
            <w:instrText xml:space="preserve"> PAGEREF _Toc12200 \h </w:instrText>
          </w:r>
          <w:r>
            <w:fldChar w:fldCharType="separate"/>
          </w:r>
          <w:r>
            <w:t>9</w:t>
          </w:r>
          <w:r>
            <w:fldChar w:fldCharType="end"/>
          </w:r>
          <w:r>
            <w:fldChar w:fldCharType="end"/>
          </w:r>
        </w:p>
        <w:p w14:paraId="44D66E5B">
          <w:pPr>
            <w:pStyle w:val="24"/>
            <w:tabs>
              <w:tab w:val="right" w:leader="dot" w:pos="8640"/>
            </w:tabs>
          </w:pPr>
          <w:r>
            <w:fldChar w:fldCharType="begin"/>
          </w:r>
          <w:r>
            <w:instrText xml:space="preserve"> HYPERLINK \l _Toc2273 </w:instrText>
          </w:r>
          <w:r>
            <w:fldChar w:fldCharType="separate"/>
          </w:r>
          <w:r>
            <w:rPr>
              <w:rFonts w:hint="eastAsia" w:ascii="仿宋" w:hAnsi="仿宋" w:eastAsia="仿宋" w:cs="仿宋"/>
            </w:rPr>
            <w:t xml:space="preserve">1.2.3 블록체인 기반 모델 검증 및 인센티브 메커니즘 </w:t>
          </w:r>
          <w:r>
            <w:tab/>
          </w:r>
          <w:r>
            <w:fldChar w:fldCharType="begin"/>
          </w:r>
          <w:r>
            <w:instrText xml:space="preserve"> PAGEREF _Toc2273 \h </w:instrText>
          </w:r>
          <w:r>
            <w:fldChar w:fldCharType="separate"/>
          </w:r>
          <w:r>
            <w:t>9</w:t>
          </w:r>
          <w:r>
            <w:fldChar w:fldCharType="end"/>
          </w:r>
          <w:r>
            <w:fldChar w:fldCharType="end"/>
          </w:r>
        </w:p>
        <w:p w14:paraId="1F8DA7E2">
          <w:pPr>
            <w:pStyle w:val="24"/>
            <w:tabs>
              <w:tab w:val="right" w:leader="dot" w:pos="8640"/>
            </w:tabs>
          </w:pPr>
          <w:r>
            <w:fldChar w:fldCharType="begin"/>
          </w:r>
          <w:r>
            <w:instrText xml:space="preserve"> HYPERLINK \l _Toc15994 </w:instrText>
          </w:r>
          <w:r>
            <w:fldChar w:fldCharType="separate"/>
          </w:r>
          <w:r>
            <w:rPr>
              <w:rFonts w:hint="eastAsia" w:ascii="仿宋" w:hAnsi="仿宋" w:eastAsia="仿宋" w:cs="仿宋"/>
            </w:rPr>
            <w:t xml:space="preserve">1.2.4 기존 연구의 한계점 및 본 연구의 혁신성 </w:t>
          </w:r>
          <w:r>
            <w:tab/>
          </w:r>
          <w:r>
            <w:fldChar w:fldCharType="begin"/>
          </w:r>
          <w:r>
            <w:instrText xml:space="preserve"> PAGEREF _Toc15994 \h </w:instrText>
          </w:r>
          <w:r>
            <w:fldChar w:fldCharType="separate"/>
          </w:r>
          <w:r>
            <w:t>10</w:t>
          </w:r>
          <w:r>
            <w:fldChar w:fldCharType="end"/>
          </w:r>
          <w:r>
            <w:fldChar w:fldCharType="end"/>
          </w:r>
        </w:p>
        <w:p w14:paraId="0B4EE068">
          <w:pPr>
            <w:pStyle w:val="30"/>
            <w:tabs>
              <w:tab w:val="right" w:leader="dot" w:pos="8640"/>
            </w:tabs>
          </w:pPr>
          <w:r>
            <w:fldChar w:fldCharType="begin"/>
          </w:r>
          <w:r>
            <w:instrText xml:space="preserve"> HYPERLINK \l _Toc15759 </w:instrText>
          </w:r>
          <w:r>
            <w:fldChar w:fldCharType="separate"/>
          </w:r>
          <w:r>
            <w:rPr>
              <w:rFonts w:hint="eastAsia" w:ascii="仿宋" w:hAnsi="仿宋" w:eastAsia="仿宋" w:cs="仿宋"/>
            </w:rPr>
            <w:t xml:space="preserve">1.3 연구 내용 및 혁신 포인트 </w:t>
          </w:r>
          <w:r>
            <w:tab/>
          </w:r>
          <w:r>
            <w:fldChar w:fldCharType="begin"/>
          </w:r>
          <w:r>
            <w:instrText xml:space="preserve"> PAGEREF _Toc15759 \h </w:instrText>
          </w:r>
          <w:r>
            <w:fldChar w:fldCharType="separate"/>
          </w:r>
          <w:r>
            <w:t>10</w:t>
          </w:r>
          <w:r>
            <w:fldChar w:fldCharType="end"/>
          </w:r>
          <w:r>
            <w:fldChar w:fldCharType="end"/>
          </w:r>
        </w:p>
        <w:p w14:paraId="41F4371D">
          <w:pPr>
            <w:pStyle w:val="30"/>
            <w:tabs>
              <w:tab w:val="right" w:leader="dot" w:pos="8640"/>
            </w:tabs>
          </w:pPr>
          <w:r>
            <w:fldChar w:fldCharType="begin"/>
          </w:r>
          <w:r>
            <w:instrText xml:space="preserve"> HYPERLINK \l _Toc30111 </w:instrText>
          </w:r>
          <w:r>
            <w:fldChar w:fldCharType="separate"/>
          </w:r>
          <w:r>
            <w:rPr>
              <w:rFonts w:hint="eastAsia" w:ascii="仿宋" w:hAnsi="仿宋" w:eastAsia="仿宋" w:cs="仿宋"/>
            </w:rPr>
            <w:t xml:space="preserve">1.4 논문 구성 구조 </w:t>
          </w:r>
          <w:r>
            <w:tab/>
          </w:r>
          <w:r>
            <w:fldChar w:fldCharType="begin"/>
          </w:r>
          <w:r>
            <w:instrText xml:space="preserve"> PAGEREF _Toc30111 \h </w:instrText>
          </w:r>
          <w:r>
            <w:fldChar w:fldCharType="separate"/>
          </w:r>
          <w:r>
            <w:t>11</w:t>
          </w:r>
          <w:r>
            <w:fldChar w:fldCharType="end"/>
          </w:r>
          <w:r>
            <w:fldChar w:fldCharType="end"/>
          </w:r>
        </w:p>
        <w:p w14:paraId="56ECC40D">
          <w:pPr>
            <w:pStyle w:val="27"/>
            <w:tabs>
              <w:tab w:val="right" w:leader="dot" w:pos="8640"/>
            </w:tabs>
          </w:pPr>
          <w:r>
            <w:fldChar w:fldCharType="begin"/>
          </w:r>
          <w:r>
            <w:instrText xml:space="preserve"> HYPERLINK \l _Toc11957 </w:instrText>
          </w:r>
          <w:r>
            <w:fldChar w:fldCharType="separate"/>
          </w:r>
          <w:r>
            <w:rPr>
              <w:rFonts w:hint="eastAsia" w:ascii="仿宋" w:hAnsi="仿宋" w:eastAsia="仿宋" w:cs="仿宋"/>
              <w:szCs w:val="36"/>
            </w:rPr>
            <w:t xml:space="preserve">제2장 관련 기술 및 이론적 기초 </w:t>
          </w:r>
          <w:r>
            <w:tab/>
          </w:r>
          <w:r>
            <w:fldChar w:fldCharType="begin"/>
          </w:r>
          <w:r>
            <w:instrText xml:space="preserve"> PAGEREF _Toc11957 \h </w:instrText>
          </w:r>
          <w:r>
            <w:fldChar w:fldCharType="separate"/>
          </w:r>
          <w:r>
            <w:t>12</w:t>
          </w:r>
          <w:r>
            <w:fldChar w:fldCharType="end"/>
          </w:r>
          <w:r>
            <w:fldChar w:fldCharType="end"/>
          </w:r>
        </w:p>
        <w:p w14:paraId="4AE96126">
          <w:pPr>
            <w:pStyle w:val="30"/>
            <w:tabs>
              <w:tab w:val="right" w:leader="dot" w:pos="8640"/>
            </w:tabs>
          </w:pPr>
          <w:r>
            <w:fldChar w:fldCharType="begin"/>
          </w:r>
          <w:r>
            <w:instrText xml:space="preserve"> HYPERLINK \l _Toc7190 </w:instrText>
          </w:r>
          <w:r>
            <w:fldChar w:fldCharType="separate"/>
          </w:r>
          <w:r>
            <w:rPr>
              <w:rFonts w:hint="eastAsia" w:ascii="仿宋" w:hAnsi="仿宋" w:eastAsia="仿宋" w:cs="仿宋"/>
            </w:rPr>
            <w:t xml:space="preserve">2.1 산업 5.0 개념 및 기술 시스템 </w:t>
          </w:r>
          <w:r>
            <w:tab/>
          </w:r>
          <w:r>
            <w:fldChar w:fldCharType="begin"/>
          </w:r>
          <w:r>
            <w:instrText xml:space="preserve"> PAGEREF _Toc7190 \h </w:instrText>
          </w:r>
          <w:r>
            <w:fldChar w:fldCharType="separate"/>
          </w:r>
          <w:r>
            <w:t>12</w:t>
          </w:r>
          <w:r>
            <w:fldChar w:fldCharType="end"/>
          </w:r>
          <w:r>
            <w:fldChar w:fldCharType="end"/>
          </w:r>
        </w:p>
        <w:p w14:paraId="7E20D975">
          <w:pPr>
            <w:pStyle w:val="24"/>
            <w:tabs>
              <w:tab w:val="right" w:leader="dot" w:pos="8640"/>
            </w:tabs>
          </w:pPr>
          <w:r>
            <w:fldChar w:fldCharType="begin"/>
          </w:r>
          <w:r>
            <w:instrText xml:space="preserve"> HYPERLINK \l _Toc5307 </w:instrText>
          </w:r>
          <w:r>
            <w:fldChar w:fldCharType="separate"/>
          </w:r>
          <w:r>
            <w:rPr>
              <w:rFonts w:hint="eastAsia" w:ascii="仿宋" w:hAnsi="仿宋" w:eastAsia="仿宋" w:cs="仿宋"/>
            </w:rPr>
            <w:t xml:space="preserve">2.1.1 산업 5.0과 산업 4.0의 비교 분석 </w:t>
          </w:r>
          <w:r>
            <w:tab/>
          </w:r>
          <w:r>
            <w:fldChar w:fldCharType="begin"/>
          </w:r>
          <w:r>
            <w:instrText xml:space="preserve"> PAGEREF _Toc5307 \h </w:instrText>
          </w:r>
          <w:r>
            <w:fldChar w:fldCharType="separate"/>
          </w:r>
          <w:r>
            <w:t>12</w:t>
          </w:r>
          <w:r>
            <w:fldChar w:fldCharType="end"/>
          </w:r>
          <w:r>
            <w:fldChar w:fldCharType="end"/>
          </w:r>
        </w:p>
        <w:p w14:paraId="3ADD2492">
          <w:pPr>
            <w:pStyle w:val="24"/>
            <w:tabs>
              <w:tab w:val="right" w:leader="dot" w:pos="8640"/>
            </w:tabs>
          </w:pPr>
          <w:r>
            <w:fldChar w:fldCharType="begin"/>
          </w:r>
          <w:r>
            <w:instrText xml:space="preserve"> HYPERLINK \l _Toc2149 </w:instrText>
          </w:r>
          <w:r>
            <w:fldChar w:fldCharType="separate"/>
          </w:r>
          <w:r>
            <w:rPr>
              <w:rFonts w:hint="eastAsia" w:ascii="仿宋" w:hAnsi="仿宋" w:eastAsia="仿宋" w:cs="仿宋"/>
            </w:rPr>
            <w:t xml:space="preserve">2.1.2 인간-기계 협업 기술 프레임워크 </w:t>
          </w:r>
          <w:r>
            <w:tab/>
          </w:r>
          <w:r>
            <w:fldChar w:fldCharType="begin"/>
          </w:r>
          <w:r>
            <w:instrText xml:space="preserve"> PAGEREF _Toc2149 \h </w:instrText>
          </w:r>
          <w:r>
            <w:fldChar w:fldCharType="separate"/>
          </w:r>
          <w:r>
            <w:t>13</w:t>
          </w:r>
          <w:r>
            <w:fldChar w:fldCharType="end"/>
          </w:r>
          <w:r>
            <w:fldChar w:fldCharType="end"/>
          </w:r>
        </w:p>
        <w:p w14:paraId="60546CF0">
          <w:pPr>
            <w:pStyle w:val="30"/>
            <w:tabs>
              <w:tab w:val="right" w:leader="dot" w:pos="8640"/>
            </w:tabs>
          </w:pPr>
          <w:r>
            <w:fldChar w:fldCharType="begin"/>
          </w:r>
          <w:r>
            <w:instrText xml:space="preserve"> HYPERLINK \l _Toc29894 </w:instrText>
          </w:r>
          <w:r>
            <w:fldChar w:fldCharType="separate"/>
          </w:r>
          <w:r>
            <w:rPr>
              <w:rFonts w:hint="eastAsia" w:ascii="仿宋" w:hAnsi="仿宋" w:eastAsia="仿宋" w:cs="仿宋"/>
            </w:rPr>
            <w:t xml:space="preserve">2.2 AI 모델 트레이딩 기술 </w:t>
          </w:r>
          <w:r>
            <w:tab/>
          </w:r>
          <w:r>
            <w:fldChar w:fldCharType="begin"/>
          </w:r>
          <w:r>
            <w:instrText xml:space="preserve"> PAGEREF _Toc29894 \h </w:instrText>
          </w:r>
          <w:r>
            <w:fldChar w:fldCharType="separate"/>
          </w:r>
          <w:r>
            <w:t>13</w:t>
          </w:r>
          <w:r>
            <w:fldChar w:fldCharType="end"/>
          </w:r>
          <w:r>
            <w:fldChar w:fldCharType="end"/>
          </w:r>
        </w:p>
        <w:p w14:paraId="3F4B27C3">
          <w:pPr>
            <w:pStyle w:val="24"/>
            <w:tabs>
              <w:tab w:val="right" w:leader="dot" w:pos="8640"/>
            </w:tabs>
          </w:pPr>
          <w:r>
            <w:fldChar w:fldCharType="begin"/>
          </w:r>
          <w:r>
            <w:instrText xml:space="preserve"> HYPERLINK \l _Toc30961 </w:instrText>
          </w:r>
          <w:r>
            <w:fldChar w:fldCharType="separate"/>
          </w:r>
          <w:r>
            <w:rPr>
              <w:rFonts w:hint="eastAsia" w:ascii="仿宋" w:hAnsi="仿宋" w:eastAsia="仿宋" w:cs="仿宋"/>
            </w:rPr>
            <w:t xml:space="preserve">2.2.1 연합 학습 </w:t>
          </w:r>
          <w:r>
            <w:tab/>
          </w:r>
          <w:r>
            <w:fldChar w:fldCharType="begin"/>
          </w:r>
          <w:r>
            <w:instrText xml:space="preserve"> PAGEREF _Toc30961 \h </w:instrText>
          </w:r>
          <w:r>
            <w:fldChar w:fldCharType="separate"/>
          </w:r>
          <w:r>
            <w:t>13</w:t>
          </w:r>
          <w:r>
            <w:fldChar w:fldCharType="end"/>
          </w:r>
          <w:r>
            <w:fldChar w:fldCharType="end"/>
          </w:r>
        </w:p>
        <w:p w14:paraId="68642A68">
          <w:pPr>
            <w:pStyle w:val="24"/>
            <w:tabs>
              <w:tab w:val="right" w:leader="dot" w:pos="8640"/>
            </w:tabs>
          </w:pPr>
          <w:r>
            <w:fldChar w:fldCharType="begin"/>
          </w:r>
          <w:r>
            <w:instrText xml:space="preserve"> HYPERLINK \l _Toc29243 </w:instrText>
          </w:r>
          <w:r>
            <w:fldChar w:fldCharType="separate"/>
          </w:r>
          <w:r>
            <w:rPr>
              <w:rFonts w:hint="eastAsia" w:ascii="仿宋" w:hAnsi="仿宋" w:eastAsia="仿宋" w:cs="仿宋"/>
            </w:rPr>
            <w:t xml:space="preserve">2.2.2 엣지 컴퓨팅 및 모델 배포 </w:t>
          </w:r>
          <w:r>
            <w:tab/>
          </w:r>
          <w:r>
            <w:fldChar w:fldCharType="begin"/>
          </w:r>
          <w:r>
            <w:instrText xml:space="preserve"> PAGEREF _Toc29243 \h </w:instrText>
          </w:r>
          <w:r>
            <w:fldChar w:fldCharType="separate"/>
          </w:r>
          <w:r>
            <w:t>14</w:t>
          </w:r>
          <w:r>
            <w:fldChar w:fldCharType="end"/>
          </w:r>
          <w:r>
            <w:fldChar w:fldCharType="end"/>
          </w:r>
        </w:p>
        <w:p w14:paraId="761607B7">
          <w:pPr>
            <w:pStyle w:val="30"/>
            <w:tabs>
              <w:tab w:val="right" w:leader="dot" w:pos="8640"/>
            </w:tabs>
          </w:pPr>
          <w:r>
            <w:fldChar w:fldCharType="begin"/>
          </w:r>
          <w:r>
            <w:instrText xml:space="preserve"> HYPERLINK \l _Toc4078 </w:instrText>
          </w:r>
          <w:r>
            <w:fldChar w:fldCharType="separate"/>
          </w:r>
          <w:r>
            <w:rPr>
              <w:rFonts w:hint="eastAsia" w:ascii="仿宋" w:hAnsi="仿宋" w:eastAsia="仿宋" w:cs="仿宋"/>
            </w:rPr>
            <w:t xml:space="preserve">2.3 블록체인 및 스마트 계약 </w:t>
          </w:r>
          <w:r>
            <w:tab/>
          </w:r>
          <w:r>
            <w:fldChar w:fldCharType="begin"/>
          </w:r>
          <w:r>
            <w:instrText xml:space="preserve"> PAGEREF _Toc4078 \h </w:instrText>
          </w:r>
          <w:r>
            <w:fldChar w:fldCharType="separate"/>
          </w:r>
          <w:r>
            <w:t>14</w:t>
          </w:r>
          <w:r>
            <w:fldChar w:fldCharType="end"/>
          </w:r>
          <w:r>
            <w:fldChar w:fldCharType="end"/>
          </w:r>
        </w:p>
        <w:p w14:paraId="5D817E6A">
          <w:pPr>
            <w:pStyle w:val="30"/>
            <w:tabs>
              <w:tab w:val="right" w:leader="dot" w:pos="8640"/>
            </w:tabs>
          </w:pPr>
          <w:r>
            <w:fldChar w:fldCharType="begin"/>
          </w:r>
          <w:r>
            <w:instrText xml:space="preserve"> HYPERLINK \l _Toc2382 </w:instrText>
          </w:r>
          <w:r>
            <w:fldChar w:fldCharType="separate"/>
          </w:r>
          <w:r>
            <w:rPr>
              <w:rFonts w:hint="eastAsia" w:ascii="仿宋" w:hAnsi="仿宋" w:eastAsia="仿宋" w:cs="仿宋"/>
            </w:rPr>
            <w:t xml:space="preserve">2.4 게임 이론과 인센티브 메커니즘 </w:t>
          </w:r>
          <w:r>
            <w:tab/>
          </w:r>
          <w:r>
            <w:fldChar w:fldCharType="begin"/>
          </w:r>
          <w:r>
            <w:instrText xml:space="preserve"> PAGEREF _Toc2382 \h </w:instrText>
          </w:r>
          <w:r>
            <w:fldChar w:fldCharType="separate"/>
          </w:r>
          <w:r>
            <w:t>14</w:t>
          </w:r>
          <w:r>
            <w:fldChar w:fldCharType="end"/>
          </w:r>
          <w:r>
            <w:fldChar w:fldCharType="end"/>
          </w:r>
        </w:p>
        <w:p w14:paraId="3E8FB728">
          <w:pPr>
            <w:pStyle w:val="24"/>
            <w:tabs>
              <w:tab w:val="right" w:leader="dot" w:pos="8640"/>
            </w:tabs>
          </w:pPr>
          <w:r>
            <w:fldChar w:fldCharType="begin"/>
          </w:r>
          <w:r>
            <w:instrText xml:space="preserve"> HYPERLINK \l _Toc6192 </w:instrText>
          </w:r>
          <w:r>
            <w:fldChar w:fldCharType="separate"/>
          </w:r>
          <w:r>
            <w:rPr>
              <w:rFonts w:hint="eastAsia" w:ascii="仿宋" w:hAnsi="仿宋" w:eastAsia="仿宋" w:cs="仿宋"/>
            </w:rPr>
            <w:t xml:space="preserve">2.4.1 계약 이론 </w:t>
          </w:r>
          <w:r>
            <w:tab/>
          </w:r>
          <w:r>
            <w:fldChar w:fldCharType="begin"/>
          </w:r>
          <w:r>
            <w:instrText xml:space="preserve"> PAGEREF _Toc6192 \h </w:instrText>
          </w:r>
          <w:r>
            <w:fldChar w:fldCharType="separate"/>
          </w:r>
          <w:r>
            <w:t>14</w:t>
          </w:r>
          <w:r>
            <w:fldChar w:fldCharType="end"/>
          </w:r>
          <w:r>
            <w:fldChar w:fldCharType="end"/>
          </w:r>
        </w:p>
        <w:p w14:paraId="38F02AF3">
          <w:pPr>
            <w:pStyle w:val="24"/>
            <w:tabs>
              <w:tab w:val="right" w:leader="dot" w:pos="8640"/>
            </w:tabs>
          </w:pPr>
          <w:r>
            <w:fldChar w:fldCharType="begin"/>
          </w:r>
          <w:r>
            <w:instrText xml:space="preserve"> HYPERLINK \l _Toc25395 </w:instrText>
          </w:r>
          <w:r>
            <w:fldChar w:fldCharType="separate"/>
          </w:r>
          <w:r>
            <w:rPr>
              <w:rFonts w:hint="eastAsia" w:ascii="仿宋" w:hAnsi="仿宋" w:eastAsia="仿宋" w:cs="仿宋"/>
            </w:rPr>
            <w:t xml:space="preserve">2.4.2 샤플리 값 </w:t>
          </w:r>
          <w:r>
            <w:tab/>
          </w:r>
          <w:r>
            <w:fldChar w:fldCharType="begin"/>
          </w:r>
          <w:r>
            <w:instrText xml:space="preserve"> PAGEREF _Toc25395 \h </w:instrText>
          </w:r>
          <w:r>
            <w:fldChar w:fldCharType="separate"/>
          </w:r>
          <w:r>
            <w:t>15</w:t>
          </w:r>
          <w:r>
            <w:fldChar w:fldCharType="end"/>
          </w:r>
          <w:r>
            <w:fldChar w:fldCharType="end"/>
          </w:r>
        </w:p>
        <w:p w14:paraId="5FDFD0B4">
          <w:pPr>
            <w:pStyle w:val="24"/>
            <w:tabs>
              <w:tab w:val="right" w:leader="dot" w:pos="8640"/>
            </w:tabs>
          </w:pPr>
          <w:r>
            <w:fldChar w:fldCharType="begin"/>
          </w:r>
          <w:r>
            <w:instrText xml:space="preserve"> HYPERLINK \l _Toc8481 </w:instrText>
          </w:r>
          <w:r>
            <w:fldChar w:fldCharType="separate"/>
          </w:r>
          <w:r>
            <w:rPr>
              <w:rFonts w:hint="eastAsia" w:ascii="仿宋" w:hAnsi="仿宋" w:eastAsia="仿宋" w:cs="仿宋"/>
            </w:rPr>
            <w:t xml:space="preserve">2.4.3 차분 프라이버시 </w:t>
          </w:r>
          <w:r>
            <w:tab/>
          </w:r>
          <w:r>
            <w:fldChar w:fldCharType="begin"/>
          </w:r>
          <w:r>
            <w:instrText xml:space="preserve"> PAGEREF _Toc8481 \h </w:instrText>
          </w:r>
          <w:r>
            <w:fldChar w:fldCharType="separate"/>
          </w:r>
          <w:r>
            <w:t>15</w:t>
          </w:r>
          <w:r>
            <w:fldChar w:fldCharType="end"/>
          </w:r>
          <w:r>
            <w:fldChar w:fldCharType="end"/>
          </w:r>
        </w:p>
        <w:p w14:paraId="7C3D3E04">
          <w:pPr>
            <w:pStyle w:val="27"/>
            <w:tabs>
              <w:tab w:val="right" w:leader="dot" w:pos="8640"/>
            </w:tabs>
          </w:pPr>
          <w:r>
            <w:fldChar w:fldCharType="begin"/>
          </w:r>
          <w:r>
            <w:instrText xml:space="preserve"> HYPERLINK \l _Toc14503 </w:instrText>
          </w:r>
          <w:r>
            <w:fldChar w:fldCharType="separate"/>
          </w:r>
          <w:r>
            <w:rPr>
              <w:rFonts w:hint="eastAsia" w:ascii="仿宋" w:hAnsi="仿宋" w:eastAsia="仿宋" w:cs="仿宋"/>
              <w:szCs w:val="36"/>
            </w:rPr>
            <w:t xml:space="preserve">제3장 산업 5.0을 위한 AI 모델 거래 시장 아키텍처 </w:t>
          </w:r>
          <w:r>
            <w:tab/>
          </w:r>
          <w:r>
            <w:fldChar w:fldCharType="begin"/>
          </w:r>
          <w:r>
            <w:instrText xml:space="preserve"> PAGEREF _Toc14503 \h </w:instrText>
          </w:r>
          <w:r>
            <w:fldChar w:fldCharType="separate"/>
          </w:r>
          <w:r>
            <w:t>16</w:t>
          </w:r>
          <w:r>
            <w:fldChar w:fldCharType="end"/>
          </w:r>
          <w:r>
            <w:fldChar w:fldCharType="end"/>
          </w:r>
        </w:p>
        <w:p w14:paraId="7C65EC7E">
          <w:pPr>
            <w:pStyle w:val="30"/>
            <w:tabs>
              <w:tab w:val="right" w:leader="dot" w:pos="8640"/>
            </w:tabs>
          </w:pPr>
          <w:r>
            <w:fldChar w:fldCharType="begin"/>
          </w:r>
          <w:r>
            <w:instrText xml:space="preserve"> HYPERLINK \l _Toc13208 </w:instrText>
          </w:r>
          <w:r>
            <w:fldChar w:fldCharType="separate"/>
          </w:r>
          <w:r>
            <w:rPr>
              <w:rFonts w:hint="eastAsia" w:ascii="仿宋" w:hAnsi="仿宋" w:eastAsia="仿宋" w:cs="仿宋"/>
            </w:rPr>
            <w:t xml:space="preserve">3.1 요구사항 분석 및 설계 목표 </w:t>
          </w:r>
          <w:r>
            <w:tab/>
          </w:r>
          <w:r>
            <w:fldChar w:fldCharType="begin"/>
          </w:r>
          <w:r>
            <w:instrText xml:space="preserve"> PAGEREF _Toc13208 \h </w:instrText>
          </w:r>
          <w:r>
            <w:fldChar w:fldCharType="separate"/>
          </w:r>
          <w:r>
            <w:t>16</w:t>
          </w:r>
          <w:r>
            <w:fldChar w:fldCharType="end"/>
          </w:r>
          <w:r>
            <w:fldChar w:fldCharType="end"/>
          </w:r>
        </w:p>
        <w:p w14:paraId="2DB85D24">
          <w:pPr>
            <w:pStyle w:val="30"/>
            <w:tabs>
              <w:tab w:val="right" w:leader="dot" w:pos="8640"/>
            </w:tabs>
          </w:pPr>
          <w:r>
            <w:fldChar w:fldCharType="begin"/>
          </w:r>
          <w:r>
            <w:instrText xml:space="preserve"> HYPERLINK \l _Toc7656 </w:instrText>
          </w:r>
          <w:r>
            <w:fldChar w:fldCharType="separate"/>
          </w:r>
          <w:r>
            <w:rPr>
              <w:rFonts w:hint="eastAsia" w:ascii="仿宋" w:hAnsi="仿宋" w:eastAsia="仿宋" w:cs="仿宋"/>
            </w:rPr>
            <w:t xml:space="preserve">3.2 전체 건축 설계 </w:t>
          </w:r>
          <w:r>
            <w:tab/>
          </w:r>
          <w:r>
            <w:fldChar w:fldCharType="begin"/>
          </w:r>
          <w:r>
            <w:instrText xml:space="preserve"> PAGEREF _Toc7656 \h </w:instrText>
          </w:r>
          <w:r>
            <w:fldChar w:fldCharType="separate"/>
          </w:r>
          <w:r>
            <w:t>16</w:t>
          </w:r>
          <w:r>
            <w:fldChar w:fldCharType="end"/>
          </w:r>
          <w:r>
            <w:fldChar w:fldCharType="end"/>
          </w:r>
        </w:p>
        <w:p w14:paraId="0BA14B3D">
          <w:pPr>
            <w:pStyle w:val="24"/>
            <w:tabs>
              <w:tab w:val="right" w:leader="dot" w:pos="8640"/>
            </w:tabs>
          </w:pPr>
          <w:r>
            <w:fldChar w:fldCharType="begin"/>
          </w:r>
          <w:r>
            <w:instrText xml:space="preserve"> HYPERLINK \l _Toc11901 </w:instrText>
          </w:r>
          <w:r>
            <w:fldChar w:fldCharType="separate"/>
          </w:r>
          <w:r>
            <w:rPr>
              <w:rFonts w:hint="eastAsia" w:ascii="仿宋" w:hAnsi="仿宋" w:eastAsia="仿宋" w:cs="仿宋"/>
            </w:rPr>
            <w:t xml:space="preserve">3.2.1 응용 계층 </w:t>
          </w:r>
          <w:r>
            <w:tab/>
          </w:r>
          <w:r>
            <w:fldChar w:fldCharType="begin"/>
          </w:r>
          <w:r>
            <w:instrText xml:space="preserve"> PAGEREF _Toc11901 \h </w:instrText>
          </w:r>
          <w:r>
            <w:fldChar w:fldCharType="separate"/>
          </w:r>
          <w:r>
            <w:t>17</w:t>
          </w:r>
          <w:r>
            <w:fldChar w:fldCharType="end"/>
          </w:r>
          <w:r>
            <w:fldChar w:fldCharType="end"/>
          </w:r>
        </w:p>
        <w:p w14:paraId="67725C4D">
          <w:pPr>
            <w:pStyle w:val="24"/>
            <w:tabs>
              <w:tab w:val="right" w:leader="dot" w:pos="8640"/>
            </w:tabs>
          </w:pPr>
          <w:r>
            <w:fldChar w:fldCharType="begin"/>
          </w:r>
          <w:r>
            <w:instrText xml:space="preserve"> HYPERLINK \l _Toc11102 </w:instrText>
          </w:r>
          <w:r>
            <w:fldChar w:fldCharType="separate"/>
          </w:r>
          <w:r>
            <w:rPr>
              <w:rFonts w:hint="eastAsia" w:ascii="仿宋" w:hAnsi="仿宋" w:eastAsia="仿宋" w:cs="仿宋"/>
            </w:rPr>
            <w:t xml:space="preserve">3.2.2 서비스 계층 </w:t>
          </w:r>
          <w:r>
            <w:tab/>
          </w:r>
          <w:r>
            <w:fldChar w:fldCharType="begin"/>
          </w:r>
          <w:r>
            <w:instrText xml:space="preserve"> PAGEREF _Toc11102 \h </w:instrText>
          </w:r>
          <w:r>
            <w:fldChar w:fldCharType="separate"/>
          </w:r>
          <w:r>
            <w:t>17</w:t>
          </w:r>
          <w:r>
            <w:fldChar w:fldCharType="end"/>
          </w:r>
          <w:r>
            <w:fldChar w:fldCharType="end"/>
          </w:r>
        </w:p>
        <w:p w14:paraId="31A85731">
          <w:pPr>
            <w:pStyle w:val="24"/>
            <w:tabs>
              <w:tab w:val="right" w:leader="dot" w:pos="8640"/>
            </w:tabs>
          </w:pPr>
          <w:r>
            <w:fldChar w:fldCharType="begin"/>
          </w:r>
          <w:r>
            <w:instrText xml:space="preserve"> HYPERLINK \l _Toc4431 </w:instrText>
          </w:r>
          <w:r>
            <w:fldChar w:fldCharType="separate"/>
          </w:r>
          <w:r>
            <w:rPr>
              <w:rFonts w:hint="eastAsia" w:ascii="仿宋" w:hAnsi="仿宋" w:eastAsia="仿宋" w:cs="仿宋"/>
            </w:rPr>
            <w:t xml:space="preserve">3.2.3 연합 학습 레이어 </w:t>
          </w:r>
          <w:r>
            <w:tab/>
          </w:r>
          <w:r>
            <w:fldChar w:fldCharType="begin"/>
          </w:r>
          <w:r>
            <w:instrText xml:space="preserve"> PAGEREF _Toc4431 \h </w:instrText>
          </w:r>
          <w:r>
            <w:fldChar w:fldCharType="separate"/>
          </w:r>
          <w:r>
            <w:t>18</w:t>
          </w:r>
          <w:r>
            <w:fldChar w:fldCharType="end"/>
          </w:r>
          <w:r>
            <w:fldChar w:fldCharType="end"/>
          </w:r>
        </w:p>
        <w:p w14:paraId="51F18FB9">
          <w:pPr>
            <w:pStyle w:val="24"/>
            <w:tabs>
              <w:tab w:val="right" w:leader="dot" w:pos="8640"/>
            </w:tabs>
          </w:pPr>
          <w:r>
            <w:fldChar w:fldCharType="begin"/>
          </w:r>
          <w:r>
            <w:instrText xml:space="preserve"> HYPERLINK \l _Toc20598 </w:instrText>
          </w:r>
          <w:r>
            <w:fldChar w:fldCharType="separate"/>
          </w:r>
          <w:r>
            <w:rPr>
              <w:rFonts w:hint="eastAsia" w:ascii="仿宋" w:hAnsi="仿宋" w:eastAsia="仿宋" w:cs="仿宋"/>
            </w:rPr>
            <w:t xml:space="preserve">3.2.4 개인정보 보호 컴퓨팅 계층 </w:t>
          </w:r>
          <w:r>
            <w:tab/>
          </w:r>
          <w:r>
            <w:fldChar w:fldCharType="begin"/>
          </w:r>
          <w:r>
            <w:instrText xml:space="preserve"> PAGEREF _Toc20598 \h </w:instrText>
          </w:r>
          <w:r>
            <w:fldChar w:fldCharType="separate"/>
          </w:r>
          <w:r>
            <w:t>18</w:t>
          </w:r>
          <w:r>
            <w:fldChar w:fldCharType="end"/>
          </w:r>
          <w:r>
            <w:fldChar w:fldCharType="end"/>
          </w:r>
        </w:p>
        <w:p w14:paraId="5D36EDF1">
          <w:pPr>
            <w:pStyle w:val="24"/>
            <w:tabs>
              <w:tab w:val="right" w:leader="dot" w:pos="8640"/>
            </w:tabs>
          </w:pPr>
          <w:r>
            <w:fldChar w:fldCharType="begin"/>
          </w:r>
          <w:r>
            <w:instrText xml:space="preserve"> HYPERLINK \l _Toc27650 </w:instrText>
          </w:r>
          <w:r>
            <w:fldChar w:fldCharType="separate"/>
          </w:r>
          <w:r>
            <w:rPr>
              <w:rFonts w:hint="eastAsia" w:ascii="仿宋" w:hAnsi="仿宋" w:eastAsia="仿宋" w:cs="仿宋"/>
            </w:rPr>
            <w:t xml:space="preserve">3.2.5 블록체인 레이어 </w:t>
          </w:r>
          <w:r>
            <w:tab/>
          </w:r>
          <w:r>
            <w:fldChar w:fldCharType="begin"/>
          </w:r>
          <w:r>
            <w:instrText xml:space="preserve"> PAGEREF _Toc27650 \h </w:instrText>
          </w:r>
          <w:r>
            <w:fldChar w:fldCharType="separate"/>
          </w:r>
          <w:r>
            <w:t>18</w:t>
          </w:r>
          <w:r>
            <w:fldChar w:fldCharType="end"/>
          </w:r>
          <w:r>
            <w:fldChar w:fldCharType="end"/>
          </w:r>
        </w:p>
        <w:p w14:paraId="70CFB82C">
          <w:pPr>
            <w:pStyle w:val="30"/>
            <w:tabs>
              <w:tab w:val="right" w:leader="dot" w:pos="8640"/>
            </w:tabs>
          </w:pPr>
          <w:r>
            <w:fldChar w:fldCharType="begin"/>
          </w:r>
          <w:r>
            <w:instrText xml:space="preserve"> HYPERLINK \l _Toc19080 </w:instrText>
          </w:r>
          <w:r>
            <w:fldChar w:fldCharType="separate"/>
          </w:r>
          <w:r>
            <w:rPr>
              <w:rFonts w:hint="eastAsia" w:ascii="仿宋" w:hAnsi="仿宋" w:eastAsia="仿宋" w:cs="仿宋"/>
            </w:rPr>
            <w:t xml:space="preserve">3.3 핵심 데이터 흐름 설계 </w:t>
          </w:r>
          <w:r>
            <w:tab/>
          </w:r>
          <w:r>
            <w:fldChar w:fldCharType="begin"/>
          </w:r>
          <w:r>
            <w:instrText xml:space="preserve"> PAGEREF _Toc19080 \h </w:instrText>
          </w:r>
          <w:r>
            <w:fldChar w:fldCharType="separate"/>
          </w:r>
          <w:r>
            <w:t>18</w:t>
          </w:r>
          <w:r>
            <w:fldChar w:fldCharType="end"/>
          </w:r>
          <w:r>
            <w:fldChar w:fldCharType="end"/>
          </w:r>
        </w:p>
        <w:p w14:paraId="38F981EA">
          <w:pPr>
            <w:pStyle w:val="30"/>
            <w:tabs>
              <w:tab w:val="right" w:leader="dot" w:pos="8640"/>
            </w:tabs>
          </w:pPr>
          <w:r>
            <w:fldChar w:fldCharType="begin"/>
          </w:r>
          <w:r>
            <w:instrText xml:space="preserve"> HYPERLINK \l _Toc9954 </w:instrText>
          </w:r>
          <w:r>
            <w:fldChar w:fldCharType="separate"/>
          </w:r>
          <w:r>
            <w:rPr>
              <w:rFonts w:hint="eastAsia" w:ascii="仿宋" w:hAnsi="仿宋" w:eastAsia="仿宋" w:cs="仿宋"/>
            </w:rPr>
            <w:t xml:space="preserve">3.4 모델 표현 및 표준화 </w:t>
          </w:r>
          <w:r>
            <w:tab/>
          </w:r>
          <w:r>
            <w:fldChar w:fldCharType="begin"/>
          </w:r>
          <w:r>
            <w:instrText xml:space="preserve"> PAGEREF _Toc9954 \h </w:instrText>
          </w:r>
          <w:r>
            <w:fldChar w:fldCharType="separate"/>
          </w:r>
          <w:r>
            <w:t>19</w:t>
          </w:r>
          <w:r>
            <w:fldChar w:fldCharType="end"/>
          </w:r>
          <w:r>
            <w:fldChar w:fldCharType="end"/>
          </w:r>
        </w:p>
        <w:p w14:paraId="74361D53">
          <w:pPr>
            <w:pStyle w:val="30"/>
            <w:tabs>
              <w:tab w:val="right" w:leader="dot" w:pos="8640"/>
            </w:tabs>
          </w:pPr>
          <w:r>
            <w:fldChar w:fldCharType="begin"/>
          </w:r>
          <w:r>
            <w:instrText xml:space="preserve"> HYPERLINK \l _Toc18369 </w:instrText>
          </w:r>
          <w:r>
            <w:fldChar w:fldCharType="separate"/>
          </w:r>
          <w:r>
            <w:rPr>
              <w:rFonts w:hint="eastAsia" w:ascii="仿宋" w:hAnsi="仿宋" w:eastAsia="仿宋" w:cs="仿宋"/>
            </w:rPr>
            <w:t xml:space="preserve">3.5 개인정보 보호 메커니즘 </w:t>
          </w:r>
          <w:r>
            <w:tab/>
          </w:r>
          <w:r>
            <w:fldChar w:fldCharType="begin"/>
          </w:r>
          <w:r>
            <w:instrText xml:space="preserve"> PAGEREF _Toc18369 \h </w:instrText>
          </w:r>
          <w:r>
            <w:fldChar w:fldCharType="separate"/>
          </w:r>
          <w:r>
            <w:t>20</w:t>
          </w:r>
          <w:r>
            <w:fldChar w:fldCharType="end"/>
          </w:r>
          <w:r>
            <w:fldChar w:fldCharType="end"/>
          </w:r>
        </w:p>
        <w:p w14:paraId="104414C4">
          <w:pPr>
            <w:pStyle w:val="27"/>
            <w:tabs>
              <w:tab w:val="right" w:leader="dot" w:pos="8640"/>
            </w:tabs>
          </w:pPr>
          <w:r>
            <w:fldChar w:fldCharType="begin"/>
          </w:r>
          <w:r>
            <w:instrText xml:space="preserve"> HYPERLINK \l _Toc10831 </w:instrText>
          </w:r>
          <w:r>
            <w:fldChar w:fldCharType="separate"/>
          </w:r>
          <w:r>
            <w:rPr>
              <w:rFonts w:hint="eastAsia" w:ascii="仿宋" w:hAnsi="仿宋" w:eastAsia="仿宋" w:cs="仿宋"/>
              <w:szCs w:val="36"/>
            </w:rPr>
            <w:t xml:space="preserve">제4장 AI 모델 거래를 위한 인센티브 메커니즘 설계 </w:t>
          </w:r>
          <w:r>
            <w:tab/>
          </w:r>
          <w:r>
            <w:fldChar w:fldCharType="begin"/>
          </w:r>
          <w:r>
            <w:instrText xml:space="preserve"> PAGEREF _Toc10831 \h </w:instrText>
          </w:r>
          <w:r>
            <w:fldChar w:fldCharType="separate"/>
          </w:r>
          <w:r>
            <w:t>21</w:t>
          </w:r>
          <w:r>
            <w:fldChar w:fldCharType="end"/>
          </w:r>
          <w:r>
            <w:fldChar w:fldCharType="end"/>
          </w:r>
        </w:p>
        <w:p w14:paraId="176218F7">
          <w:pPr>
            <w:pStyle w:val="30"/>
            <w:tabs>
              <w:tab w:val="right" w:leader="dot" w:pos="8640"/>
            </w:tabs>
          </w:pPr>
          <w:r>
            <w:fldChar w:fldCharType="begin"/>
          </w:r>
          <w:r>
            <w:instrText xml:space="preserve"> HYPERLINK \l _Toc15961 </w:instrText>
          </w:r>
          <w:r>
            <w:fldChar w:fldCharType="separate"/>
          </w:r>
          <w:r>
            <w:rPr>
              <w:rFonts w:hint="eastAsia" w:ascii="仿宋" w:hAnsi="仿宋" w:eastAsia="仿宋" w:cs="仿宋"/>
            </w:rPr>
            <w:t xml:space="preserve">4.1 문제 모델링 </w:t>
          </w:r>
          <w:r>
            <w:tab/>
          </w:r>
          <w:r>
            <w:fldChar w:fldCharType="begin"/>
          </w:r>
          <w:r>
            <w:instrText xml:space="preserve"> PAGEREF _Toc15961 \h </w:instrText>
          </w:r>
          <w:r>
            <w:fldChar w:fldCharType="separate"/>
          </w:r>
          <w:r>
            <w:t>21</w:t>
          </w:r>
          <w:r>
            <w:fldChar w:fldCharType="end"/>
          </w:r>
          <w:r>
            <w:fldChar w:fldCharType="end"/>
          </w:r>
        </w:p>
        <w:p w14:paraId="623EA662">
          <w:pPr>
            <w:pStyle w:val="24"/>
            <w:tabs>
              <w:tab w:val="right" w:leader="dot" w:pos="8640"/>
            </w:tabs>
          </w:pPr>
          <w:r>
            <w:fldChar w:fldCharType="begin"/>
          </w:r>
          <w:r>
            <w:instrText xml:space="preserve"> HYPERLINK \l _Toc28044 </w:instrText>
          </w:r>
          <w:r>
            <w:fldChar w:fldCharType="separate"/>
          </w:r>
          <w:r>
            <w:rPr>
              <w:rFonts w:hint="eastAsia" w:ascii="仿宋" w:hAnsi="仿宋" w:eastAsia="仿宋" w:cs="仿宋"/>
            </w:rPr>
            <w:t xml:space="preserve">4.1.1 참가자 행동 분석 </w:t>
          </w:r>
          <w:r>
            <w:tab/>
          </w:r>
          <w:r>
            <w:fldChar w:fldCharType="begin"/>
          </w:r>
          <w:r>
            <w:instrText xml:space="preserve"> PAGEREF _Toc28044 \h </w:instrText>
          </w:r>
          <w:r>
            <w:fldChar w:fldCharType="separate"/>
          </w:r>
          <w:r>
            <w:t>21</w:t>
          </w:r>
          <w:r>
            <w:fldChar w:fldCharType="end"/>
          </w:r>
          <w:r>
            <w:fldChar w:fldCharType="end"/>
          </w:r>
        </w:p>
        <w:p w14:paraId="34654BC2">
          <w:pPr>
            <w:pStyle w:val="24"/>
            <w:tabs>
              <w:tab w:val="right" w:leader="dot" w:pos="8640"/>
            </w:tabs>
          </w:pPr>
          <w:r>
            <w:fldChar w:fldCharType="begin"/>
          </w:r>
          <w:r>
            <w:instrText xml:space="preserve"> HYPERLINK \l _Toc685 </w:instrText>
          </w:r>
          <w:r>
            <w:fldChar w:fldCharType="separate"/>
          </w:r>
          <w:r>
            <w:rPr>
              <w:rFonts w:hint="eastAsia" w:ascii="仿宋" w:hAnsi="仿宋" w:eastAsia="仿宋" w:cs="仿宋"/>
            </w:rPr>
            <w:t xml:space="preserve">4.1.2 주인-대리인 모델 구축 </w:t>
          </w:r>
          <w:r>
            <w:tab/>
          </w:r>
          <w:r>
            <w:fldChar w:fldCharType="begin"/>
          </w:r>
          <w:r>
            <w:instrText xml:space="preserve"> PAGEREF _Toc685 \h </w:instrText>
          </w:r>
          <w:r>
            <w:fldChar w:fldCharType="separate"/>
          </w:r>
          <w:r>
            <w:t>21</w:t>
          </w:r>
          <w:r>
            <w:fldChar w:fldCharType="end"/>
          </w:r>
          <w:r>
            <w:fldChar w:fldCharType="end"/>
          </w:r>
        </w:p>
        <w:p w14:paraId="27E46002">
          <w:pPr>
            <w:pStyle w:val="30"/>
            <w:tabs>
              <w:tab w:val="right" w:leader="dot" w:pos="8640"/>
            </w:tabs>
          </w:pPr>
          <w:r>
            <w:fldChar w:fldCharType="begin"/>
          </w:r>
          <w:r>
            <w:instrText xml:space="preserve"> HYPERLINK \l _Toc27912 </w:instrText>
          </w:r>
          <w:r>
            <w:fldChar w:fldCharType="separate"/>
          </w:r>
          <w:r>
            <w:rPr>
              <w:rFonts w:hint="eastAsia" w:ascii="仿宋" w:hAnsi="仿宋" w:eastAsia="仿宋" w:cs="仿宋"/>
            </w:rPr>
            <w:t xml:space="preserve">4.2 계약 이론에 기반한 인센티브 메커니즘 </w:t>
          </w:r>
          <w:r>
            <w:tab/>
          </w:r>
          <w:r>
            <w:fldChar w:fldCharType="begin"/>
          </w:r>
          <w:r>
            <w:instrText xml:space="preserve"> PAGEREF _Toc27912 \h </w:instrText>
          </w:r>
          <w:r>
            <w:fldChar w:fldCharType="separate"/>
          </w:r>
          <w:r>
            <w:t>22</w:t>
          </w:r>
          <w:r>
            <w:fldChar w:fldCharType="end"/>
          </w:r>
          <w:r>
            <w:fldChar w:fldCharType="end"/>
          </w:r>
        </w:p>
        <w:p w14:paraId="2201BB8F">
          <w:pPr>
            <w:pStyle w:val="24"/>
            <w:tabs>
              <w:tab w:val="right" w:leader="dot" w:pos="8640"/>
            </w:tabs>
          </w:pPr>
          <w:r>
            <w:fldChar w:fldCharType="begin"/>
          </w:r>
          <w:r>
            <w:instrText xml:space="preserve"> HYPERLINK \l _Toc15090 </w:instrText>
          </w:r>
          <w:r>
            <w:fldChar w:fldCharType="separate"/>
          </w:r>
          <w:r>
            <w:rPr>
              <w:rFonts w:hint="eastAsia" w:ascii="仿宋" w:hAnsi="仿宋" w:eastAsia="仿宋" w:cs="仿宋"/>
            </w:rPr>
            <w:t xml:space="preserve">4.2.1 3단계 계약 메뉴 디자인 </w:t>
          </w:r>
          <w:r>
            <w:tab/>
          </w:r>
          <w:r>
            <w:fldChar w:fldCharType="begin"/>
          </w:r>
          <w:r>
            <w:instrText xml:space="preserve"> PAGEREF _Toc15090 \h </w:instrText>
          </w:r>
          <w:r>
            <w:fldChar w:fldCharType="separate"/>
          </w:r>
          <w:r>
            <w:t>22</w:t>
          </w:r>
          <w:r>
            <w:fldChar w:fldCharType="end"/>
          </w:r>
          <w:r>
            <w:fldChar w:fldCharType="end"/>
          </w:r>
        </w:p>
        <w:p w14:paraId="7C2842DB">
          <w:pPr>
            <w:pStyle w:val="24"/>
            <w:tabs>
              <w:tab w:val="right" w:leader="dot" w:pos="8640"/>
            </w:tabs>
          </w:pPr>
          <w:r>
            <w:fldChar w:fldCharType="begin"/>
          </w:r>
          <w:r>
            <w:instrText xml:space="preserve"> HYPERLINK \l _Toc19382 </w:instrText>
          </w:r>
          <w:r>
            <w:fldChar w:fldCharType="separate"/>
          </w:r>
          <w:r>
            <w:rPr>
              <w:rFonts w:hint="eastAsia" w:ascii="仿宋" w:hAnsi="仿宋" w:eastAsia="仿宋" w:cs="仿宋"/>
            </w:rPr>
            <w:t xml:space="preserve">4.2.2 최적 계약 찾기 </w:t>
          </w:r>
          <w:r>
            <w:tab/>
          </w:r>
          <w:r>
            <w:fldChar w:fldCharType="begin"/>
          </w:r>
          <w:r>
            <w:instrText xml:space="preserve"> PAGEREF _Toc19382 \h </w:instrText>
          </w:r>
          <w:r>
            <w:fldChar w:fldCharType="separate"/>
          </w:r>
          <w:r>
            <w:t>22</w:t>
          </w:r>
          <w:r>
            <w:fldChar w:fldCharType="end"/>
          </w:r>
          <w:r>
            <w:fldChar w:fldCharType="end"/>
          </w:r>
        </w:p>
        <w:p w14:paraId="024AC99A">
          <w:pPr>
            <w:pStyle w:val="30"/>
            <w:tabs>
              <w:tab w:val="right" w:leader="dot" w:pos="8640"/>
            </w:tabs>
          </w:pPr>
          <w:r>
            <w:fldChar w:fldCharType="begin"/>
          </w:r>
          <w:r>
            <w:instrText xml:space="preserve"> HYPERLINK \l _Toc1426 </w:instrText>
          </w:r>
          <w:r>
            <w:fldChar w:fldCharType="separate"/>
          </w:r>
          <w:r>
            <w:rPr>
              <w:rFonts w:hint="eastAsia" w:ascii="仿宋" w:hAnsi="仿宋" w:eastAsia="仿宋" w:cs="仿宋"/>
            </w:rPr>
            <w:t xml:space="preserve">4.3 기여도 평가 메커니즘 </w:t>
          </w:r>
          <w:r>
            <w:tab/>
          </w:r>
          <w:r>
            <w:fldChar w:fldCharType="begin"/>
          </w:r>
          <w:r>
            <w:instrText xml:space="preserve"> PAGEREF _Toc1426 \h </w:instrText>
          </w:r>
          <w:r>
            <w:fldChar w:fldCharType="separate"/>
          </w:r>
          <w:r>
            <w:t>22</w:t>
          </w:r>
          <w:r>
            <w:fldChar w:fldCharType="end"/>
          </w:r>
          <w:r>
            <w:fldChar w:fldCharType="end"/>
          </w:r>
        </w:p>
        <w:p w14:paraId="320E8495">
          <w:pPr>
            <w:pStyle w:val="24"/>
            <w:tabs>
              <w:tab w:val="right" w:leader="dot" w:pos="8640"/>
            </w:tabs>
          </w:pPr>
          <w:r>
            <w:fldChar w:fldCharType="begin"/>
          </w:r>
          <w:r>
            <w:instrText xml:space="preserve"> HYPERLINK \l _Toc16506 </w:instrText>
          </w:r>
          <w:r>
            <w:fldChar w:fldCharType="separate"/>
          </w:r>
          <w:r>
            <w:rPr>
              <w:rFonts w:hint="eastAsia" w:ascii="仿宋" w:hAnsi="仿宋" w:eastAsia="仿宋" w:cs="仿宋"/>
            </w:rPr>
            <w:t xml:space="preserve">4.3.1 4차원 종합 기여 모델 </w:t>
          </w:r>
          <w:r>
            <w:tab/>
          </w:r>
          <w:r>
            <w:fldChar w:fldCharType="begin"/>
          </w:r>
          <w:r>
            <w:instrText xml:space="preserve"> PAGEREF _Toc16506 \h </w:instrText>
          </w:r>
          <w:r>
            <w:fldChar w:fldCharType="separate"/>
          </w:r>
          <w:r>
            <w:t>22</w:t>
          </w:r>
          <w:r>
            <w:fldChar w:fldCharType="end"/>
          </w:r>
          <w:r>
            <w:fldChar w:fldCharType="end"/>
          </w:r>
        </w:p>
        <w:p w14:paraId="302B21D7">
          <w:pPr>
            <w:pStyle w:val="30"/>
            <w:tabs>
              <w:tab w:val="right" w:leader="dot" w:pos="8640"/>
            </w:tabs>
          </w:pPr>
          <w:r>
            <w:fldChar w:fldCharType="begin"/>
          </w:r>
          <w:r>
            <w:instrText xml:space="preserve"> HYPERLINK \l _Toc3963 </w:instrText>
          </w:r>
          <w:r>
            <w:fldChar w:fldCharType="separate"/>
          </w:r>
          <w:r>
            <w:rPr>
              <w:rFonts w:hint="eastAsia" w:ascii="仿宋" w:hAnsi="仿宋" w:eastAsia="仿宋" w:cs="仿宋"/>
            </w:rPr>
            <w:t xml:space="preserve">4.4 Shapley 값에 기반한 공정한 배분 </w:t>
          </w:r>
          <w:r>
            <w:tab/>
          </w:r>
          <w:r>
            <w:fldChar w:fldCharType="begin"/>
          </w:r>
          <w:r>
            <w:instrText xml:space="preserve"> PAGEREF _Toc3963 \h </w:instrText>
          </w:r>
          <w:r>
            <w:fldChar w:fldCharType="separate"/>
          </w:r>
          <w:r>
            <w:t>23</w:t>
          </w:r>
          <w:r>
            <w:fldChar w:fldCharType="end"/>
          </w:r>
          <w:r>
            <w:fldChar w:fldCharType="end"/>
          </w:r>
        </w:p>
        <w:p w14:paraId="7FFAA58E">
          <w:pPr>
            <w:pStyle w:val="27"/>
            <w:tabs>
              <w:tab w:val="right" w:leader="dot" w:pos="8640"/>
            </w:tabs>
          </w:pPr>
          <w:r>
            <w:fldChar w:fldCharType="begin"/>
          </w:r>
          <w:r>
            <w:instrText xml:space="preserve"> HYPERLINK \l _Toc14266 </w:instrText>
          </w:r>
          <w:r>
            <w:fldChar w:fldCharType="separate"/>
          </w:r>
          <w:r>
            <w:rPr>
              <w:rFonts w:hint="eastAsia" w:ascii="仿宋" w:hAnsi="仿宋" w:eastAsia="仿宋" w:cs="仿宋"/>
              <w:szCs w:val="36"/>
            </w:rPr>
            <w:t xml:space="preserve">제5장 실험 및 결과 분석 </w:t>
          </w:r>
          <w:r>
            <w:tab/>
          </w:r>
          <w:r>
            <w:fldChar w:fldCharType="begin"/>
          </w:r>
          <w:r>
            <w:instrText xml:space="preserve"> PAGEREF _Toc14266 \h </w:instrText>
          </w:r>
          <w:r>
            <w:fldChar w:fldCharType="separate"/>
          </w:r>
          <w:r>
            <w:t>24</w:t>
          </w:r>
          <w:r>
            <w:fldChar w:fldCharType="end"/>
          </w:r>
          <w:r>
            <w:fldChar w:fldCharType="end"/>
          </w:r>
        </w:p>
        <w:p w14:paraId="7290272E">
          <w:pPr>
            <w:pStyle w:val="30"/>
            <w:tabs>
              <w:tab w:val="right" w:leader="dot" w:pos="8640"/>
            </w:tabs>
          </w:pPr>
          <w:r>
            <w:fldChar w:fldCharType="begin"/>
          </w:r>
          <w:r>
            <w:instrText xml:space="preserve"> HYPERLINK \l _Toc490 </w:instrText>
          </w:r>
          <w:r>
            <w:fldChar w:fldCharType="separate"/>
          </w:r>
          <w:r>
            <w:rPr>
              <w:rFonts w:hint="eastAsia" w:ascii="仿宋" w:hAnsi="仿宋" w:eastAsia="仿宋" w:cs="仿宋"/>
            </w:rPr>
            <w:t xml:space="preserve">5.1 실험 환경 구성 </w:t>
          </w:r>
          <w:r>
            <w:tab/>
          </w:r>
          <w:r>
            <w:fldChar w:fldCharType="begin"/>
          </w:r>
          <w:r>
            <w:instrText xml:space="preserve"> PAGEREF _Toc490 \h </w:instrText>
          </w:r>
          <w:r>
            <w:fldChar w:fldCharType="separate"/>
          </w:r>
          <w:r>
            <w:t>24</w:t>
          </w:r>
          <w:r>
            <w:fldChar w:fldCharType="end"/>
          </w:r>
          <w:r>
            <w:fldChar w:fldCharType="end"/>
          </w:r>
        </w:p>
        <w:p w14:paraId="1ADAD740">
          <w:pPr>
            <w:pStyle w:val="24"/>
            <w:tabs>
              <w:tab w:val="right" w:leader="dot" w:pos="8640"/>
            </w:tabs>
          </w:pPr>
          <w:r>
            <w:fldChar w:fldCharType="begin"/>
          </w:r>
          <w:r>
            <w:instrText xml:space="preserve"> HYPERLINK \l _Toc4738 </w:instrText>
          </w:r>
          <w:r>
            <w:fldChar w:fldCharType="separate"/>
          </w:r>
          <w:r>
            <w:rPr>
              <w:rFonts w:hint="eastAsia" w:ascii="仿宋" w:hAnsi="仿宋" w:eastAsia="仿宋" w:cs="仿宋"/>
            </w:rPr>
            <w:t xml:space="preserve">5.1.1 하드웨어 및 소프트웨어 환경 </w:t>
          </w:r>
          <w:r>
            <w:tab/>
          </w:r>
          <w:r>
            <w:fldChar w:fldCharType="begin"/>
          </w:r>
          <w:r>
            <w:instrText xml:space="preserve"> PAGEREF _Toc4738 \h </w:instrText>
          </w:r>
          <w:r>
            <w:fldChar w:fldCharType="separate"/>
          </w:r>
          <w:r>
            <w:t>24</w:t>
          </w:r>
          <w:r>
            <w:fldChar w:fldCharType="end"/>
          </w:r>
          <w:r>
            <w:fldChar w:fldCharType="end"/>
          </w:r>
        </w:p>
        <w:p w14:paraId="523F0444">
          <w:pPr>
            <w:pStyle w:val="24"/>
            <w:tabs>
              <w:tab w:val="right" w:leader="dot" w:pos="8640"/>
            </w:tabs>
          </w:pPr>
          <w:r>
            <w:fldChar w:fldCharType="begin"/>
          </w:r>
          <w:r>
            <w:instrText xml:space="preserve"> HYPERLINK \l _Toc11122 </w:instrText>
          </w:r>
          <w:r>
            <w:fldChar w:fldCharType="separate"/>
          </w:r>
          <w:r>
            <w:rPr>
              <w:rFonts w:hint="eastAsia" w:ascii="仿宋" w:hAnsi="仿宋" w:eastAsia="仿宋" w:cs="仿宋"/>
            </w:rPr>
            <w:t xml:space="preserve">5.1.2 데이터셋 및 데이터 분할 </w:t>
          </w:r>
          <w:r>
            <w:tab/>
          </w:r>
          <w:r>
            <w:fldChar w:fldCharType="begin"/>
          </w:r>
          <w:r>
            <w:instrText xml:space="preserve"> PAGEREF _Toc11122 \h </w:instrText>
          </w:r>
          <w:r>
            <w:fldChar w:fldCharType="separate"/>
          </w:r>
          <w:r>
            <w:t>24</w:t>
          </w:r>
          <w:r>
            <w:fldChar w:fldCharType="end"/>
          </w:r>
          <w:r>
            <w:fldChar w:fldCharType="end"/>
          </w:r>
        </w:p>
        <w:p w14:paraId="00AC7D20">
          <w:pPr>
            <w:pStyle w:val="24"/>
            <w:tabs>
              <w:tab w:val="right" w:leader="dot" w:pos="8640"/>
            </w:tabs>
          </w:pPr>
          <w:r>
            <w:fldChar w:fldCharType="begin"/>
          </w:r>
          <w:r>
            <w:instrText xml:space="preserve"> HYPERLINK \l _Toc30700 </w:instrText>
          </w:r>
          <w:r>
            <w:fldChar w:fldCharType="separate"/>
          </w:r>
          <w:r>
            <w:rPr>
              <w:rFonts w:hint="eastAsia" w:ascii="仿宋" w:hAnsi="仿宋" w:eastAsia="仿宋" w:cs="仿宋"/>
            </w:rPr>
            <w:t xml:space="preserve">5.1.3 비교 방법 </w:t>
          </w:r>
          <w:r>
            <w:tab/>
          </w:r>
          <w:r>
            <w:fldChar w:fldCharType="begin"/>
          </w:r>
          <w:r>
            <w:instrText xml:space="preserve"> PAGEREF _Toc30700 \h </w:instrText>
          </w:r>
          <w:r>
            <w:fldChar w:fldCharType="separate"/>
          </w:r>
          <w:r>
            <w:t>25</w:t>
          </w:r>
          <w:r>
            <w:fldChar w:fldCharType="end"/>
          </w:r>
          <w:r>
            <w:fldChar w:fldCharType="end"/>
          </w:r>
        </w:p>
        <w:p w14:paraId="49DFC144">
          <w:pPr>
            <w:pStyle w:val="30"/>
            <w:tabs>
              <w:tab w:val="right" w:leader="dot" w:pos="8640"/>
            </w:tabs>
          </w:pPr>
          <w:r>
            <w:fldChar w:fldCharType="begin"/>
          </w:r>
          <w:r>
            <w:instrText xml:space="preserve"> HYPERLINK \l _Toc9805 </w:instrText>
          </w:r>
          <w:r>
            <w:fldChar w:fldCharType="separate"/>
          </w:r>
          <w:r>
            <w:rPr>
              <w:rFonts w:hint="eastAsia" w:ascii="仿宋" w:hAnsi="仿宋" w:eastAsia="仿宋" w:cs="仿宋"/>
            </w:rPr>
            <w:t xml:space="preserve">5.2 연합 학습 성능 비교 실험 </w:t>
          </w:r>
          <w:r>
            <w:tab/>
          </w:r>
          <w:r>
            <w:fldChar w:fldCharType="begin"/>
          </w:r>
          <w:r>
            <w:instrText xml:space="preserve"> PAGEREF _Toc9805 \h </w:instrText>
          </w:r>
          <w:r>
            <w:fldChar w:fldCharType="separate"/>
          </w:r>
          <w:r>
            <w:t>25</w:t>
          </w:r>
          <w:r>
            <w:fldChar w:fldCharType="end"/>
          </w:r>
          <w:r>
            <w:fldChar w:fldCharType="end"/>
          </w:r>
        </w:p>
        <w:p w14:paraId="57B5A88E">
          <w:pPr>
            <w:pStyle w:val="24"/>
            <w:tabs>
              <w:tab w:val="right" w:leader="dot" w:pos="8640"/>
            </w:tabs>
          </w:pPr>
          <w:r>
            <w:fldChar w:fldCharType="begin"/>
          </w:r>
          <w:r>
            <w:instrText xml:space="preserve"> HYPERLINK \l _Toc4778 </w:instrText>
          </w:r>
          <w:r>
            <w:fldChar w:fldCharType="separate"/>
          </w:r>
          <w:r>
            <w:rPr>
              <w:rFonts w:hint="eastAsia" w:ascii="仿宋" w:hAnsi="仿宋" w:eastAsia="仿宋" w:cs="仿宋"/>
            </w:rPr>
            <w:t xml:space="preserve">5.2.1 실험 장치 </w:t>
          </w:r>
          <w:r>
            <w:tab/>
          </w:r>
          <w:r>
            <w:fldChar w:fldCharType="begin"/>
          </w:r>
          <w:r>
            <w:instrText xml:space="preserve"> PAGEREF _Toc4778 \h </w:instrText>
          </w:r>
          <w:r>
            <w:fldChar w:fldCharType="separate"/>
          </w:r>
          <w:r>
            <w:t>25</w:t>
          </w:r>
          <w:r>
            <w:fldChar w:fldCharType="end"/>
          </w:r>
          <w:r>
            <w:fldChar w:fldCharType="end"/>
          </w:r>
        </w:p>
        <w:p w14:paraId="06072D8D">
          <w:pPr>
            <w:pStyle w:val="24"/>
            <w:tabs>
              <w:tab w:val="right" w:leader="dot" w:pos="8640"/>
            </w:tabs>
          </w:pPr>
          <w:r>
            <w:fldChar w:fldCharType="begin"/>
          </w:r>
          <w:r>
            <w:instrText xml:space="preserve"> HYPERLINK \l _Toc3650 </w:instrText>
          </w:r>
          <w:r>
            <w:fldChar w:fldCharType="separate"/>
          </w:r>
          <w:r>
            <w:rPr>
              <w:rFonts w:hint="eastAsia" w:ascii="仿宋" w:hAnsi="仿宋" w:eastAsia="仿宋" w:cs="仿宋"/>
            </w:rPr>
            <w:t xml:space="preserve">5.2.2 비IID 환경 성능 비교 </w:t>
          </w:r>
          <w:r>
            <w:tab/>
          </w:r>
          <w:r>
            <w:fldChar w:fldCharType="begin"/>
          </w:r>
          <w:r>
            <w:instrText xml:space="preserve"> PAGEREF _Toc3650 \h </w:instrText>
          </w:r>
          <w:r>
            <w:fldChar w:fldCharType="separate"/>
          </w:r>
          <w:r>
            <w:t>25</w:t>
          </w:r>
          <w:r>
            <w:fldChar w:fldCharType="end"/>
          </w:r>
          <w:r>
            <w:fldChar w:fldCharType="end"/>
          </w:r>
        </w:p>
        <w:p w14:paraId="28F33B21">
          <w:pPr>
            <w:pStyle w:val="24"/>
            <w:tabs>
              <w:tab w:val="right" w:leader="dot" w:pos="8640"/>
            </w:tabs>
          </w:pPr>
          <w:r>
            <w:fldChar w:fldCharType="begin"/>
          </w:r>
          <w:r>
            <w:instrText xml:space="preserve"> HYPERLINK \l _Toc9179 </w:instrText>
          </w:r>
          <w:r>
            <w:fldChar w:fldCharType="separate"/>
          </w:r>
          <w:r>
            <w:rPr>
              <w:rFonts w:hint="eastAsia" w:ascii="仿宋" w:hAnsi="仿宋" w:eastAsia="仿宋" w:cs="仿宋"/>
            </w:rPr>
            <w:t xml:space="preserve">5.2.3 데이터셋 간 일반화 성능 </w:t>
          </w:r>
          <w:r>
            <w:tab/>
          </w:r>
          <w:r>
            <w:fldChar w:fldCharType="begin"/>
          </w:r>
          <w:r>
            <w:instrText xml:space="preserve"> PAGEREF _Toc9179 \h </w:instrText>
          </w:r>
          <w:r>
            <w:fldChar w:fldCharType="separate"/>
          </w:r>
          <w:r>
            <w:t>27</w:t>
          </w:r>
          <w:r>
            <w:fldChar w:fldCharType="end"/>
          </w:r>
          <w:r>
            <w:fldChar w:fldCharType="end"/>
          </w:r>
        </w:p>
        <w:p w14:paraId="6F1C47A8">
          <w:pPr>
            <w:pStyle w:val="30"/>
            <w:tabs>
              <w:tab w:val="right" w:leader="dot" w:pos="8640"/>
            </w:tabs>
          </w:pPr>
          <w:r>
            <w:fldChar w:fldCharType="begin"/>
          </w:r>
          <w:r>
            <w:instrText xml:space="preserve"> HYPERLINK \l _Toc10912 </w:instrText>
          </w:r>
          <w:r>
            <w:fldChar w:fldCharType="separate"/>
          </w:r>
          <w:r>
            <w:rPr>
              <w:rFonts w:hint="eastAsia" w:ascii="仿宋" w:hAnsi="仿宋" w:eastAsia="仿宋" w:cs="仿宋"/>
            </w:rPr>
            <w:t xml:space="preserve">5.3 인센티브 메커니즘의 효과성 검증 </w:t>
          </w:r>
          <w:r>
            <w:tab/>
          </w:r>
          <w:r>
            <w:fldChar w:fldCharType="begin"/>
          </w:r>
          <w:r>
            <w:instrText xml:space="preserve"> PAGEREF _Toc10912 \h </w:instrText>
          </w:r>
          <w:r>
            <w:fldChar w:fldCharType="separate"/>
          </w:r>
          <w:r>
            <w:t>28</w:t>
          </w:r>
          <w:r>
            <w:fldChar w:fldCharType="end"/>
          </w:r>
          <w:r>
            <w:fldChar w:fldCharType="end"/>
          </w:r>
        </w:p>
        <w:p w14:paraId="302C4BBC">
          <w:pPr>
            <w:pStyle w:val="30"/>
            <w:tabs>
              <w:tab w:val="right" w:leader="dot" w:pos="8640"/>
            </w:tabs>
          </w:pPr>
          <w:r>
            <w:fldChar w:fldCharType="begin"/>
          </w:r>
          <w:r>
            <w:instrText xml:space="preserve"> HYPERLINK \l _Toc23958 </w:instrText>
          </w:r>
          <w:r>
            <w:fldChar w:fldCharType="separate"/>
          </w:r>
          <w:r>
            <w:rPr>
              <w:rFonts w:hint="eastAsia" w:ascii="仿宋" w:hAnsi="仿宋" w:eastAsia="仿宋" w:cs="仿宋"/>
            </w:rPr>
            <w:t xml:space="preserve">5.4 개인정보 보호 효과 실험 </w:t>
          </w:r>
          <w:r>
            <w:tab/>
          </w:r>
          <w:r>
            <w:fldChar w:fldCharType="begin"/>
          </w:r>
          <w:r>
            <w:instrText xml:space="preserve"> PAGEREF _Toc23958 \h </w:instrText>
          </w:r>
          <w:r>
            <w:fldChar w:fldCharType="separate"/>
          </w:r>
          <w:r>
            <w:t>29</w:t>
          </w:r>
          <w:r>
            <w:fldChar w:fldCharType="end"/>
          </w:r>
          <w:r>
            <w:fldChar w:fldCharType="end"/>
          </w:r>
        </w:p>
        <w:p w14:paraId="0D26A506">
          <w:pPr>
            <w:pStyle w:val="30"/>
            <w:tabs>
              <w:tab w:val="right" w:leader="dot" w:pos="8640"/>
            </w:tabs>
          </w:pPr>
          <w:r>
            <w:fldChar w:fldCharType="begin"/>
          </w:r>
          <w:r>
            <w:instrText xml:space="preserve"> HYPERLINK \l _Toc21784 </w:instrText>
          </w:r>
          <w:r>
            <w:fldChar w:fldCharType="separate"/>
          </w:r>
          <w:r>
            <w:rPr>
              <w:rFonts w:hint="eastAsia" w:ascii="仿宋" w:hAnsi="仿宋" w:eastAsia="仿宋" w:cs="仿宋"/>
            </w:rPr>
            <w:t xml:space="preserve">5.5 시스템 성능 및 확장성 테스트 </w:t>
          </w:r>
          <w:r>
            <w:tab/>
          </w:r>
          <w:r>
            <w:fldChar w:fldCharType="begin"/>
          </w:r>
          <w:r>
            <w:instrText xml:space="preserve"> PAGEREF _Toc21784 \h </w:instrText>
          </w:r>
          <w:r>
            <w:fldChar w:fldCharType="separate"/>
          </w:r>
          <w:r>
            <w:t>30</w:t>
          </w:r>
          <w:r>
            <w:fldChar w:fldCharType="end"/>
          </w:r>
          <w:r>
            <w:fldChar w:fldCharType="end"/>
          </w:r>
        </w:p>
        <w:p w14:paraId="2A9CFF73">
          <w:pPr>
            <w:pStyle w:val="30"/>
            <w:tabs>
              <w:tab w:val="right" w:leader="dot" w:pos="8640"/>
            </w:tabs>
          </w:pPr>
          <w:r>
            <w:fldChar w:fldCharType="begin"/>
          </w:r>
          <w:r>
            <w:instrText xml:space="preserve"> HYPERLINK \l _Toc19156 </w:instrText>
          </w:r>
          <w:r>
            <w:fldChar w:fldCharType="separate"/>
          </w:r>
          <w:r>
            <w:rPr>
              <w:rFonts w:hint="eastAsia" w:ascii="仿宋" w:hAnsi="仿宋" w:eastAsia="仿宋" w:cs="仿宋"/>
            </w:rPr>
            <w:t xml:space="preserve">5.6 종합 분석 및 논의 </w:t>
          </w:r>
          <w:r>
            <w:tab/>
          </w:r>
          <w:r>
            <w:fldChar w:fldCharType="begin"/>
          </w:r>
          <w:r>
            <w:instrText xml:space="preserve"> PAGEREF _Toc19156 \h </w:instrText>
          </w:r>
          <w:r>
            <w:fldChar w:fldCharType="separate"/>
          </w:r>
          <w:r>
            <w:t>32</w:t>
          </w:r>
          <w:r>
            <w:fldChar w:fldCharType="end"/>
          </w:r>
          <w:r>
            <w:fldChar w:fldCharType="end"/>
          </w:r>
        </w:p>
        <w:p w14:paraId="2162507E">
          <w:pPr>
            <w:pStyle w:val="24"/>
            <w:tabs>
              <w:tab w:val="right" w:leader="dot" w:pos="8640"/>
            </w:tabs>
          </w:pPr>
          <w:r>
            <w:fldChar w:fldCharType="begin"/>
          </w:r>
          <w:r>
            <w:instrText xml:space="preserve"> HYPERLINK \l _Toc27785 </w:instrText>
          </w:r>
          <w:r>
            <w:fldChar w:fldCharType="separate"/>
          </w:r>
          <w:r>
            <w:rPr>
              <w:rFonts w:hint="eastAsia" w:ascii="仿宋" w:hAnsi="仿宋" w:eastAsia="仿宋" w:cs="仿宋"/>
            </w:rPr>
            <w:t xml:space="preserve">5.6.1 연구 가설 검증 </w:t>
          </w:r>
          <w:r>
            <w:tab/>
          </w:r>
          <w:r>
            <w:fldChar w:fldCharType="begin"/>
          </w:r>
          <w:r>
            <w:instrText xml:space="preserve"> PAGEREF _Toc27785 \h </w:instrText>
          </w:r>
          <w:r>
            <w:fldChar w:fldCharType="separate"/>
          </w:r>
          <w:r>
            <w:t>32</w:t>
          </w:r>
          <w:r>
            <w:fldChar w:fldCharType="end"/>
          </w:r>
          <w:r>
            <w:fldChar w:fldCharType="end"/>
          </w:r>
        </w:p>
        <w:p w14:paraId="3FDCD78D">
          <w:pPr>
            <w:pStyle w:val="24"/>
            <w:tabs>
              <w:tab w:val="right" w:leader="dot" w:pos="8640"/>
            </w:tabs>
          </w:pPr>
          <w:r>
            <w:fldChar w:fldCharType="begin"/>
          </w:r>
          <w:r>
            <w:instrText xml:space="preserve"> HYPERLINK \l _Toc30623 </w:instrText>
          </w:r>
          <w:r>
            <w:fldChar w:fldCharType="separate"/>
          </w:r>
          <w:r>
            <w:rPr>
              <w:rFonts w:hint="eastAsia" w:ascii="仿宋" w:hAnsi="仿宋" w:eastAsia="仿宋" w:cs="仿宋"/>
            </w:rPr>
            <w:t xml:space="preserve">5.6.2 삼중 딜레마에 대한 실증적 분석 </w:t>
          </w:r>
          <w:r>
            <w:tab/>
          </w:r>
          <w:r>
            <w:fldChar w:fldCharType="begin"/>
          </w:r>
          <w:r>
            <w:instrText xml:space="preserve"> PAGEREF _Toc30623 \h </w:instrText>
          </w:r>
          <w:r>
            <w:fldChar w:fldCharType="separate"/>
          </w:r>
          <w:r>
            <w:t>33</w:t>
          </w:r>
          <w:r>
            <w:fldChar w:fldCharType="end"/>
          </w:r>
          <w:r>
            <w:fldChar w:fldCharType="end"/>
          </w:r>
        </w:p>
        <w:p w14:paraId="1E41E7C2">
          <w:pPr>
            <w:pStyle w:val="27"/>
            <w:tabs>
              <w:tab w:val="right" w:leader="dot" w:pos="8640"/>
            </w:tabs>
          </w:pPr>
          <w:r>
            <w:fldChar w:fldCharType="begin"/>
          </w:r>
          <w:r>
            <w:instrText xml:space="preserve"> HYPERLINK \l _Toc23282 </w:instrText>
          </w:r>
          <w:r>
            <w:fldChar w:fldCharType="separate"/>
          </w:r>
          <w:r>
            <w:rPr>
              <w:rFonts w:hint="eastAsia" w:ascii="仿宋" w:hAnsi="仿宋" w:eastAsia="仿宋" w:cs="仿宋"/>
              <w:szCs w:val="36"/>
            </w:rPr>
            <w:t xml:space="preserve">제6장 결론 및 전망 </w:t>
          </w:r>
          <w:r>
            <w:tab/>
          </w:r>
          <w:r>
            <w:fldChar w:fldCharType="begin"/>
          </w:r>
          <w:r>
            <w:instrText xml:space="preserve"> PAGEREF _Toc23282 \h </w:instrText>
          </w:r>
          <w:r>
            <w:fldChar w:fldCharType="separate"/>
          </w:r>
          <w:r>
            <w:t>35</w:t>
          </w:r>
          <w:r>
            <w:fldChar w:fldCharType="end"/>
          </w:r>
          <w:r>
            <w:fldChar w:fldCharType="end"/>
          </w:r>
        </w:p>
        <w:p w14:paraId="5E263C9A">
          <w:pPr>
            <w:pStyle w:val="30"/>
            <w:tabs>
              <w:tab w:val="right" w:leader="dot" w:pos="8640"/>
            </w:tabs>
          </w:pPr>
          <w:r>
            <w:fldChar w:fldCharType="begin"/>
          </w:r>
          <w:r>
            <w:instrText xml:space="preserve"> HYPERLINK \l _Toc25512 </w:instrText>
          </w:r>
          <w:r>
            <w:fldChar w:fldCharType="separate"/>
          </w:r>
          <w:r>
            <w:rPr>
              <w:rFonts w:hint="eastAsia" w:ascii="仿宋" w:hAnsi="仿宋" w:eastAsia="仿宋" w:cs="仿宋"/>
            </w:rPr>
            <w:t xml:space="preserve">6.1 연구 요약 </w:t>
          </w:r>
          <w:r>
            <w:tab/>
          </w:r>
          <w:r>
            <w:fldChar w:fldCharType="begin"/>
          </w:r>
          <w:r>
            <w:instrText xml:space="preserve"> PAGEREF _Toc25512 \h </w:instrText>
          </w:r>
          <w:r>
            <w:fldChar w:fldCharType="separate"/>
          </w:r>
          <w:r>
            <w:t>35</w:t>
          </w:r>
          <w:r>
            <w:fldChar w:fldCharType="end"/>
          </w:r>
          <w:r>
            <w:fldChar w:fldCharType="end"/>
          </w:r>
        </w:p>
        <w:p w14:paraId="61D9AA6F">
          <w:pPr>
            <w:pStyle w:val="30"/>
            <w:tabs>
              <w:tab w:val="right" w:leader="dot" w:pos="8640"/>
            </w:tabs>
          </w:pPr>
          <w:r>
            <w:fldChar w:fldCharType="begin"/>
          </w:r>
          <w:r>
            <w:instrText xml:space="preserve"> HYPERLINK \l _Toc12325 </w:instrText>
          </w:r>
          <w:r>
            <w:fldChar w:fldCharType="separate"/>
          </w:r>
          <w:r>
            <w:rPr>
              <w:rFonts w:hint="eastAsia" w:ascii="仿宋" w:hAnsi="仿宋" w:eastAsia="仿宋" w:cs="仿宋"/>
            </w:rPr>
            <w:t xml:space="preserve">6.2 학문적 및 실질적 함의 </w:t>
          </w:r>
          <w:r>
            <w:tab/>
          </w:r>
          <w:r>
            <w:fldChar w:fldCharType="begin"/>
          </w:r>
          <w:r>
            <w:instrText xml:space="preserve"> PAGEREF _Toc12325 \h </w:instrText>
          </w:r>
          <w:r>
            <w:fldChar w:fldCharType="separate"/>
          </w:r>
          <w:r>
            <w:t>35</w:t>
          </w:r>
          <w:r>
            <w:fldChar w:fldCharType="end"/>
          </w:r>
          <w:r>
            <w:fldChar w:fldCharType="end"/>
          </w:r>
        </w:p>
        <w:p w14:paraId="1E810AF9">
          <w:pPr>
            <w:pStyle w:val="24"/>
            <w:tabs>
              <w:tab w:val="right" w:leader="dot" w:pos="8640"/>
            </w:tabs>
          </w:pPr>
          <w:r>
            <w:fldChar w:fldCharType="begin"/>
          </w:r>
          <w:r>
            <w:instrText xml:space="preserve"> HYPERLINK \l _Toc23229 </w:instrText>
          </w:r>
          <w:r>
            <w:fldChar w:fldCharType="separate"/>
          </w:r>
          <w:r>
            <w:rPr>
              <w:rFonts w:hint="eastAsia" w:ascii="仿宋" w:hAnsi="仿宋" w:eastAsia="仿宋" w:cs="仿宋"/>
            </w:rPr>
            <w:t xml:space="preserve">6.2.1 학술적 기여 </w:t>
          </w:r>
          <w:r>
            <w:tab/>
          </w:r>
          <w:r>
            <w:fldChar w:fldCharType="begin"/>
          </w:r>
          <w:r>
            <w:instrText xml:space="preserve"> PAGEREF _Toc23229 \h </w:instrText>
          </w:r>
          <w:r>
            <w:fldChar w:fldCharType="separate"/>
          </w:r>
          <w:r>
            <w:t>35</w:t>
          </w:r>
          <w:r>
            <w:fldChar w:fldCharType="end"/>
          </w:r>
          <w:r>
            <w:fldChar w:fldCharType="end"/>
          </w:r>
        </w:p>
        <w:p w14:paraId="63AD748C">
          <w:pPr>
            <w:pStyle w:val="24"/>
            <w:tabs>
              <w:tab w:val="right" w:leader="dot" w:pos="8640"/>
            </w:tabs>
          </w:pPr>
          <w:r>
            <w:fldChar w:fldCharType="begin"/>
          </w:r>
          <w:r>
            <w:instrText xml:space="preserve"> HYPERLINK \l _Toc7929 </w:instrText>
          </w:r>
          <w:r>
            <w:fldChar w:fldCharType="separate"/>
          </w:r>
          <w:r>
            <w:rPr>
              <w:rFonts w:hint="eastAsia" w:ascii="仿宋" w:hAnsi="仿宋" w:eastAsia="仿宋" w:cs="仿宋"/>
            </w:rPr>
            <w:t xml:space="preserve">6.2.2 실용적 가치 </w:t>
          </w:r>
          <w:r>
            <w:tab/>
          </w:r>
          <w:r>
            <w:fldChar w:fldCharType="begin"/>
          </w:r>
          <w:r>
            <w:instrText xml:space="preserve"> PAGEREF _Toc7929 \h </w:instrText>
          </w:r>
          <w:r>
            <w:fldChar w:fldCharType="separate"/>
          </w:r>
          <w:r>
            <w:t>36</w:t>
          </w:r>
          <w:r>
            <w:fldChar w:fldCharType="end"/>
          </w:r>
          <w:r>
            <w:fldChar w:fldCharType="end"/>
          </w:r>
        </w:p>
        <w:p w14:paraId="34FC6032">
          <w:pPr>
            <w:pStyle w:val="30"/>
            <w:tabs>
              <w:tab w:val="right" w:leader="dot" w:pos="8640"/>
            </w:tabs>
          </w:pPr>
          <w:r>
            <w:fldChar w:fldCharType="begin"/>
          </w:r>
          <w:r>
            <w:instrText xml:space="preserve"> HYPERLINK \l _Toc27055 </w:instrText>
          </w:r>
          <w:r>
            <w:fldChar w:fldCharType="separate"/>
          </w:r>
          <w:r>
            <w:rPr>
              <w:rFonts w:hint="eastAsia" w:ascii="仿宋" w:hAnsi="仿宋" w:eastAsia="仿宋" w:cs="仿宋"/>
            </w:rPr>
            <w:t xml:space="preserve">6.3 연구의 한계 및 향후 연구 </w:t>
          </w:r>
          <w:r>
            <w:tab/>
          </w:r>
          <w:r>
            <w:fldChar w:fldCharType="begin"/>
          </w:r>
          <w:r>
            <w:instrText xml:space="preserve"> PAGEREF _Toc27055 \h </w:instrText>
          </w:r>
          <w:r>
            <w:fldChar w:fldCharType="separate"/>
          </w:r>
          <w:r>
            <w:t>36</w:t>
          </w:r>
          <w:r>
            <w:fldChar w:fldCharType="end"/>
          </w:r>
          <w:r>
            <w:fldChar w:fldCharType="end"/>
          </w:r>
        </w:p>
        <w:p w14:paraId="1AD15CDA">
          <w:pPr>
            <w:pStyle w:val="27"/>
            <w:tabs>
              <w:tab w:val="right" w:leader="dot" w:pos="8640"/>
            </w:tabs>
          </w:pPr>
          <w:r>
            <w:fldChar w:fldCharType="begin"/>
          </w:r>
          <w:r>
            <w:instrText xml:space="preserve"> HYPERLINK \l _Toc22782 </w:instrText>
          </w:r>
          <w:r>
            <w:fldChar w:fldCharType="separate"/>
          </w:r>
          <w:r>
            <w:rPr>
              <w:rFonts w:hint="eastAsia" w:ascii="仿宋" w:hAnsi="仿宋" w:eastAsia="仿宋" w:cs="仿宋"/>
              <w:szCs w:val="36"/>
            </w:rPr>
            <w:t xml:space="preserve">참고문헌 </w:t>
          </w:r>
          <w:r>
            <w:tab/>
          </w:r>
          <w:r>
            <w:fldChar w:fldCharType="begin"/>
          </w:r>
          <w:r>
            <w:instrText xml:space="preserve"> PAGEREF _Toc22782 \h </w:instrText>
          </w:r>
          <w:r>
            <w:fldChar w:fldCharType="separate"/>
          </w:r>
          <w:r>
            <w:t>38</w:t>
          </w:r>
          <w:r>
            <w:fldChar w:fldCharType="end"/>
          </w:r>
          <w:r>
            <w:fldChar w:fldCharType="end"/>
          </w:r>
        </w:p>
        <w:p w14:paraId="1DC48C8F">
          <w:pPr>
            <w:pStyle w:val="27"/>
            <w:tabs>
              <w:tab w:val="right" w:leader="dot" w:pos="8640"/>
            </w:tabs>
          </w:pPr>
          <w:r>
            <w:fldChar w:fldCharType="begin"/>
          </w:r>
          <w:r>
            <w:instrText xml:space="preserve"> HYPERLINK \l _Toc7082 </w:instrText>
          </w:r>
          <w:r>
            <w:fldChar w:fldCharType="separate"/>
          </w:r>
          <w:r>
            <w:rPr>
              <w:rFonts w:hint="default" w:ascii="Times New Roman" w:hAnsi="Times New Roman" w:eastAsia="仿宋" w:cs="Times New Roman"/>
              <w:szCs w:val="36"/>
            </w:rPr>
            <w:t xml:space="preserve">요약 </w:t>
          </w:r>
          <w:r>
            <w:tab/>
          </w:r>
          <w:r>
            <w:fldChar w:fldCharType="begin"/>
          </w:r>
          <w:r>
            <w:instrText xml:space="preserve"> PAGEREF _Toc7082 \h </w:instrText>
          </w:r>
          <w:r>
            <w:fldChar w:fldCharType="separate"/>
          </w:r>
          <w:r>
            <w:t>40</w:t>
          </w:r>
          <w:r>
            <w:fldChar w:fldCharType="end"/>
          </w:r>
          <w:r>
            <w:fldChar w:fldCharType="end"/>
          </w:r>
        </w:p>
        <w:p w14:paraId="081C9942">
          <w:pPr>
            <w:sectPr>
              <w:pgSz w:w="12240" w:h="15840"/>
              <w:pgMar w:top="1440" w:right="1800" w:bottom="1440" w:left="1800" w:header="720" w:footer="720" w:gutter="0"/>
              <w:cols w:space="720" w:num="1"/>
              <w:docGrid w:linePitch="360" w:charSpace="0"/>
            </w:sectPr>
          </w:pPr>
          <w:r>
            <w:fldChar w:fldCharType="end"/>
          </w:r>
        </w:p>
      </w:sdtContent>
    </w:sdt>
    <w:p w14:paraId="10DDCFB6"/>
    <w:p w14:paraId="28030FBB">
      <w:pPr>
        <w:pStyle w:val="3"/>
        <w:jc w:val="center"/>
        <w:rPr>
          <w:rFonts w:hint="eastAsia" w:ascii="仿宋" w:hAnsi="仿宋" w:eastAsia="仿宋" w:cs="仿宋"/>
          <w:sz w:val="36"/>
          <w:szCs w:val="36"/>
        </w:rPr>
      </w:pPr>
      <w:bookmarkStart w:id="1" w:name="_Toc13047"/>
      <w:r>
        <w:rPr>
          <w:rFonts w:hint="eastAsia" w:ascii="仿宋" w:hAnsi="仿宋" w:eastAsia="仿宋" w:cs="仿宋"/>
          <w:sz w:val="36"/>
          <w:szCs w:val="36"/>
        </w:rPr>
        <w:t>제1장 서론</w:t>
      </w:r>
      <w:bookmarkEnd w:id="1"/>
    </w:p>
    <w:p w14:paraId="7420CB75">
      <w:pPr>
        <w:pStyle w:val="4"/>
        <w:rPr>
          <w:rFonts w:hint="eastAsia" w:ascii="仿宋" w:hAnsi="仿宋" w:eastAsia="仿宋" w:cs="仿宋"/>
        </w:rPr>
      </w:pPr>
      <w:bookmarkStart w:id="2" w:name="_Toc16311"/>
      <w:r>
        <w:rPr>
          <w:rFonts w:hint="eastAsia" w:ascii="仿宋" w:hAnsi="仿宋" w:eastAsia="仿宋" w:cs="仿宋"/>
        </w:rPr>
        <w:t>1.1 연구 배경 및 중요성</w:t>
      </w:r>
      <w:bookmarkEnd w:id="2"/>
    </w:p>
    <w:p w14:paraId="70EDA3DA">
      <w:pPr>
        <w:pStyle w:val="5"/>
        <w:rPr>
          <w:rFonts w:hint="eastAsia" w:ascii="仿宋" w:hAnsi="仿宋" w:eastAsia="仿宋" w:cs="仿宋"/>
        </w:rPr>
      </w:pPr>
      <w:bookmarkStart w:id="3" w:name="_Toc27872"/>
      <w:r>
        <w:rPr>
          <w:rFonts w:hint="eastAsia" w:ascii="仿宋" w:hAnsi="仿宋" w:eastAsia="仿宋" w:cs="仿宋"/>
        </w:rPr>
        <w:t>1.1.1 5차 산업혁명 및 인간-기계 협업의 발전 동향</w:t>
      </w:r>
      <w:bookmarkEnd w:id="3"/>
    </w:p>
    <w:p w14:paraId="7BBB854C">
      <w:pPr>
        <w:ind w:firstLine="480" w:firstLineChars="200"/>
        <w:rPr>
          <w:rFonts w:hint="eastAsia" w:ascii="仿宋" w:hAnsi="仿宋" w:eastAsia="仿宋" w:cs="仿宋"/>
        </w:rPr>
      </w:pPr>
      <w:r>
        <w:rPr>
          <w:rFonts w:hint="eastAsia" w:ascii="仿宋" w:hAnsi="仿宋" w:eastAsia="仿宋" w:cs="仿宋"/>
        </w:rPr>
        <w:t>2021년 유럽 위원회는 공식 보고서 "인더스트리 5.0: 지속 가능하고 인간 중심적이며 회복력 있는 유럽 산업을 향하여"를 발표하여 인더스트리 5.0 개념을 공식적으로 제안했습니다[1]. 인더스트리 5.0은 인더스트리 4.0이 추구했던 생산 자동화와 초연결성을 뛰어 넘어 인간 중심성, 지속 가능성, 회복력을 산업 시스템 설계의 세 가지 핵심 가치 원칙으로 정립합니다. 이는 기술적 수준에서의 반복적인 진화일 뿐만 아니라 인간과 기계의 역할을 근본적으로 재정의하는 것입니다. 즉, 기계가 인간을 대체하는 것에서 인간과 기계의 협력적인 공동 창조로 나아가는 것입니다.</w:t>
      </w:r>
    </w:p>
    <w:p w14:paraId="6D8A2A88">
      <w:pPr>
        <w:ind w:firstLine="480" w:firstLineChars="200"/>
        <w:rPr>
          <w:rFonts w:hint="eastAsia" w:ascii="仿宋" w:hAnsi="仿宋" w:eastAsia="仿宋" w:cs="仿宋"/>
        </w:rPr>
      </w:pPr>
      <w:r>
        <w:rPr>
          <w:rFonts w:hint="eastAsia" w:ascii="仿宋" w:hAnsi="仿宋" w:eastAsia="仿宋" w:cs="仿宋"/>
        </w:rPr>
        <w:t>인더스트리 4.0은 사이버 물리 시스템(CPS), 사물 인터넷(IoT) 및 빅데이터 분석을 통해 생산 공정의 자동화 및 효율성 극대화에 중점을 두는 반면, 인더스트리 5.0은 인간의 창의성, 비판적 사고 및 상황 적응력을 기계의 정밀성, 반복성 및 대규모 데이터 처리 능력과 심층적으로 통합하는 것을 강조합니다[2]. 이러한 새로운 인간-기계 협업 패러다임 하에서 인공지능 시스템은 다음과 같은 핵심 기능을 수행해야 합니다. (1) 엣지 디바이스에서 실시간 추론을 실현하고 생산 환경 변화에 동적으로 적응합니다. (2) 기업 및 디바이스 간 모델의 안전한 공유 및 협업적 진화를 지원합니다. (3) 기업 및 모델의 핵심 데이터 자산과 지적 재산권을 보호합니다. (4) 모든 참여자가 고품질 모델 및 데이터 자원을 적극적으로 제공하도록 장려하는 효과적인 인센티브 메커니즘을 구축합니다.</w:t>
      </w:r>
    </w:p>
    <w:p w14:paraId="2CAFFCD8">
      <w:pPr>
        <w:pStyle w:val="5"/>
        <w:rPr>
          <w:rFonts w:hint="eastAsia" w:ascii="仿宋" w:hAnsi="仿宋" w:eastAsia="仿宋" w:cs="仿宋"/>
        </w:rPr>
      </w:pPr>
      <w:bookmarkStart w:id="4" w:name="_Toc14880"/>
      <w:r>
        <w:rPr>
          <w:rFonts w:hint="eastAsia" w:ascii="仿宋" w:hAnsi="仿宋" w:eastAsia="仿宋" w:cs="仿宋"/>
        </w:rPr>
        <w:t>1.1.2 AI 모델 트레이딩 시장의 부상</w:t>
      </w:r>
      <w:bookmarkEnd w:id="4"/>
    </w:p>
    <w:p w14:paraId="19C8B4D9">
      <w:pPr>
        <w:ind w:firstLine="480" w:firstLineChars="200"/>
        <w:rPr>
          <w:rFonts w:hint="eastAsia" w:ascii="仿宋" w:hAnsi="仿宋" w:eastAsia="仿宋" w:cs="仿宋"/>
        </w:rPr>
      </w:pPr>
      <w:r>
        <w:rPr>
          <w:rFonts w:hint="eastAsia" w:ascii="仿宋" w:hAnsi="仿宋" w:eastAsia="仿宋" w:cs="仿宋"/>
        </w:rPr>
        <w:t>딥러닝 기술의 급속한 발전으로 학습된 AI 모델은 단순한 소프트웨어 구성 요소에서 기업의 핵심 경쟁력을 결정하는 핵심 디지털 자산으로 진화했습니다. McKinsey(2023) 보고서에 따르면, 전 세계 AI 시장 규모는 2025년에 약 1,900억 달러에 이를 것으로 예상되며, 사전 학습된 모델의 거래 및 라이선스 비중은 계속해서 확대될 것으로 전망됩니다[3].</w:t>
      </w:r>
    </w:p>
    <w:p w14:paraId="43D90542">
      <w:pPr>
        <w:ind w:firstLine="480" w:firstLineChars="200"/>
        <w:rPr>
          <w:rFonts w:hint="eastAsia" w:ascii="仿宋" w:hAnsi="仿宋" w:eastAsia="仿宋" w:cs="仿宋"/>
        </w:rPr>
      </w:pPr>
      <w:r>
        <w:rPr>
          <w:rFonts w:hint="eastAsia" w:ascii="仿宋" w:hAnsi="仿宋" w:eastAsia="仿宋" w:cs="仿宋"/>
        </w:rPr>
        <w:t>현재 다양한 AI 모델 플랫폼들이 활발한 모델 공유 생태계를 형성하고 있습니다. 국제적으로는 HuggingFace에 30만 개 이상의 모델이 호스팅되어 있으며, Kaggle Models, Civitai와 같은 플랫폼들도 급성장하고 있습니다. 국내에서는 ModelScope, Baidu Qianfan, iFlytek Open Platform 등이 점차 성숙해지고 있습니다[4]. 그러나 심층 분석 결과, 이러한 플랫폼들은 다음과 같은 구조적 한계를 가지고 있는 것으로 나타났습니다. 첫째, 오픈 소스와 무료 배포에 치중되어 있어 지속 가능한 상업적 거래 및 가치 실현 메커니즘이 부족합니다. 둘째, 일반적인 시나리오에 맞춰 설계되어 있어 산업 현장의 특수한 요구 사항(밀리초 수준의 실시간 추론, 극한 환경에서의 신뢰성, 도메인 데이터의 이질성)에 대한 수직적 솔루션이 부족합니다. 셋째, 모델의 지적 재산권 보호 및 위조 방지 추적 메커니즘이 미흡하여 기업의 핵심 모델 자산 보호 요구를 충족하기 어렵습니다. 넷째, 참여자의 다차원적 기여도를 정량적으로 평가하고 장기적인 고품질 참여를 장려하는 효과적인 메커니즘이 아직 구축되지 않았습니다.</w:t>
      </w:r>
    </w:p>
    <w:p w14:paraId="240ABFD5">
      <w:pPr>
        <w:pStyle w:val="5"/>
        <w:rPr>
          <w:rFonts w:hint="eastAsia" w:ascii="仿宋" w:hAnsi="仿宋" w:eastAsia="仿宋" w:cs="仿宋"/>
        </w:rPr>
      </w:pPr>
      <w:bookmarkStart w:id="5" w:name="_Toc10078"/>
      <w:r>
        <w:rPr>
          <w:rFonts w:hint="eastAsia" w:ascii="仿宋" w:hAnsi="仿宋" w:eastAsia="仿宋" w:cs="仿宋"/>
        </w:rPr>
        <w:t>1.1.3 연구의 필요성</w:t>
      </w:r>
      <w:bookmarkEnd w:id="5"/>
    </w:p>
    <w:p w14:paraId="7B010770">
      <w:pPr>
        <w:rPr>
          <w:rFonts w:hint="eastAsia" w:ascii="仿宋" w:hAnsi="仿宋" w:eastAsia="仿宋" w:cs="仿宋"/>
        </w:rPr>
      </w:pPr>
      <w:r>
        <w:rPr>
          <w:rFonts w:hint="eastAsia" w:ascii="仿宋" w:hAnsi="仿宋" w:eastAsia="仿宋" w:cs="仿宋"/>
        </w:rPr>
        <w:t>위의 분석을 바탕으로, 5.0 산업 환경에 맞는 AI 모델 거래 시장에 대한 연구는 여러 측면과 차원에서 필수적이고 시급한 과제입니다.</w:t>
      </w:r>
    </w:p>
    <w:p w14:paraId="7F93873D">
      <w:pPr>
        <w:rPr>
          <w:rFonts w:hint="eastAsia" w:ascii="仿宋" w:hAnsi="仿宋" w:eastAsia="仿宋" w:cs="仿宋"/>
        </w:rPr>
      </w:pPr>
      <w:r>
        <w:rPr>
          <w:rFonts w:hint="eastAsia" w:ascii="仿宋" w:hAnsi="仿宋" w:eastAsia="仿宋" w:cs="仿宋"/>
        </w:rPr>
        <w:t>이론적 수준: 기존 연구는 연합 학습 알고리즘 최적화[5][6] 또는 블록체인 데이터 거래 메커니즘[7][8]과 같은 단일 기술적 차원에 초점을 맞추고 있으며, 이러한 기술들을 완전한 AI 모델 거래 시장 아키텍처로 통합하는 체계적인 연구는 부족합니다. 특히 정보 비대칭성과 참여자 이질성이라는 복잡한 조건 하에서, 인센티브 호환성과 분배적 공정성을 결합한 이론적 틀을 구축하는 방법은 아직 학문적 탐구의 초기 단계에 머물러 있습니다.</w:t>
      </w:r>
    </w:p>
    <w:p w14:paraId="17D30652">
      <w:pPr>
        <w:rPr>
          <w:rFonts w:hint="eastAsia" w:ascii="仿宋" w:hAnsi="仿宋" w:eastAsia="仿宋" w:cs="仿宋"/>
        </w:rPr>
      </w:pPr>
      <w:r>
        <w:rPr>
          <w:rFonts w:hint="eastAsia" w:ascii="仿宋" w:hAnsi="仿宋" w:eastAsia="仿宋" w:cs="仿宋"/>
        </w:rPr>
        <w:t>실제 상황: 산업 기업들은 GDPR 및 데이터 보안법과 같은 데이터 개인정보 보호 규정으로 인해 엄격한 제약을 받고 있어 직접적인 데이터 공유가 거의 불가능합니다. 그러나 AI 모델 성능 향상을 위해 협업 학습 및 모델 교환을 활용해야 할 필요성은 절실합니다. 제조, 물류, 에너지 관리 등 다양한 분야에서 엣지 AI 모델에 대한 수요가 급증하고 있지만, 안전하고 효율적이며 공정한 모델 공유 메커니즘의 부재는 산업계에서 협업 지능의 확산을 저해하는 핵심 병목 현상으로 작용하고 있습니다.</w:t>
      </w:r>
    </w:p>
    <w:p w14:paraId="41956D9E">
      <w:pPr>
        <w:rPr>
          <w:rFonts w:hint="eastAsia" w:ascii="仿宋" w:hAnsi="仿宋" w:eastAsia="仿宋" w:cs="仿宋"/>
        </w:rPr>
      </w:pPr>
      <w:r>
        <w:rPr>
          <w:rFonts w:hint="eastAsia" w:ascii="仿宋" w:hAnsi="仿宋" w:eastAsia="仿宋" w:cs="仿宋"/>
        </w:rPr>
        <w:t>기술적 관점에서 볼 때, AI 모델 거래 시장을 구현하려면 여러 학문 분야의 기술을 심층적으로 통합해야 합니다. 블록체인은 분산형 신뢰 기반을 제공하고, 연합 학습은 데이터가 도메인 내에 유지되는 협업 학습을 보장하며, 프라이버시 컴퓨팅(차분 프라이버시, 안전한 다자간 컴퓨팅)은 데이터와 모델의 기밀성을 보호하고, 게임 이론은 인센티브 호환 메커니즘 설계를 위한 엄밀한 수학적 토대를 제공합니다. 이러한 기술 통합의 복잡성 자체가 상당한 연구 가치를 지닌 과학적 과제를 구성합니다.</w:t>
      </w:r>
    </w:p>
    <w:p w14:paraId="7DD5B88C">
      <w:pPr>
        <w:pStyle w:val="4"/>
        <w:rPr>
          <w:rFonts w:hint="eastAsia" w:ascii="仿宋" w:hAnsi="仿宋" w:eastAsia="仿宋" w:cs="仿宋"/>
        </w:rPr>
      </w:pPr>
      <w:bookmarkStart w:id="6" w:name="_Toc10006"/>
      <w:r>
        <w:rPr>
          <w:rFonts w:hint="eastAsia" w:ascii="仿宋" w:hAnsi="仿宋" w:eastAsia="仿宋" w:cs="仿宋"/>
        </w:rPr>
        <w:t>1.2 국내외 연구 현황</w:t>
      </w:r>
      <w:bookmarkEnd w:id="6"/>
    </w:p>
    <w:p w14:paraId="50142DD6">
      <w:pPr>
        <w:rPr>
          <w:rFonts w:hint="eastAsia" w:ascii="仿宋" w:hAnsi="仿宋" w:eastAsia="仿宋" w:cs="仿宋"/>
        </w:rPr>
      </w:pPr>
      <w:r>
        <w:rPr>
          <w:rFonts w:hint="eastAsia" w:ascii="仿宋" w:hAnsi="仿宋" w:eastAsia="仿宋" w:cs="仿宋"/>
        </w:rPr>
        <w:t>본 연구는 연합 학습 및 분산 모델 훈련, AI 모델 시장 및 거래 플랫폼, 블록체인 기반 모델 검증 및 추적성, 인센티브 메커니즘 및 게임 이론 방법론 등 네 가지 활발한 연구 분야의 교차점에 있습니다.</w:t>
      </w:r>
    </w:p>
    <w:p w14:paraId="3A401C79">
      <w:pPr>
        <w:pStyle w:val="5"/>
        <w:rPr>
          <w:rFonts w:hint="eastAsia" w:ascii="仿宋" w:hAnsi="仿宋" w:eastAsia="仿宋" w:cs="仿宋"/>
        </w:rPr>
      </w:pPr>
      <w:bookmarkStart w:id="7" w:name="_Toc15940"/>
      <w:r>
        <w:rPr>
          <w:rFonts w:hint="eastAsia" w:ascii="仿宋" w:hAnsi="仿宋" w:eastAsia="仿宋" w:cs="仿宋"/>
        </w:rPr>
        <w:t>1.2.1 연합 학습 및 분산 모델 훈련</w:t>
      </w:r>
      <w:bookmarkEnd w:id="7"/>
    </w:p>
    <w:p w14:paraId="5EA7926B">
      <w:pPr>
        <w:rPr>
          <w:rFonts w:hint="eastAsia" w:ascii="仿宋" w:hAnsi="仿宋" w:eastAsia="仿宋" w:cs="仿宋"/>
        </w:rPr>
      </w:pPr>
      <w:r>
        <w:rPr>
          <w:rFonts w:hint="eastAsia" w:ascii="仿宋" w:hAnsi="仿宋" w:eastAsia="仿宋" w:cs="仿宋"/>
        </w:rPr>
        <w:t>McMahan et al.(2017)이 제안한 FedAvg 알고리즘은 연합 학습의 기본 패러다임을 확립했습니다. 이 알고리즘은 중앙 서버를 통해 클라이언트의 로컬 모델 업데이트를 가중 평균으로 집계하여 도메인 외부로 데이터가 유출되지 않는 협업 학습을 구현했습니다[5]. 이후 Li et al.(2020)의 FedProx는 시스템 이질성 문제를 해결하기 위해 근접항을 도입했고[9], Karimirddy et al.(2020)의 SCAFFOLD는 제어 변수를 사용하여 클라이언트 드리프트를 완화했으며[10], Wang et al.(2020)의 FedNova는 서로 다른 클라이언트의 로컬 업데이트 단계 수 차이를 정규화하여 비독립동일분포(Non-IID) 환경에서 수렴성을 향상시켰습니다[11]. Kairouz et al.(2021)은 포괄적인 검토를 통해 연합 학습의 미해결 과제를 체계적으로 정리했으며, 특히 인센티브 메커니즘과 모델 평가가 아직 완전히 해결되지 않은 핵심 문제임을 명확히 지적했습니다[6]. 위의 연구들은 주로 알고리즘 수준에서의 성능 최적화에 초점을 맞추고 있는 반면, 참여자들의 기여도 측정 및 경제적 인센티브와 같이 연합 학습 생태계의 지속가능성에 영향을 미치는 핵심적인 문제들에 대해서는 충분한 관심을 기울이지 않고 있다.</w:t>
      </w:r>
    </w:p>
    <w:p w14:paraId="6FC94A4A">
      <w:pPr>
        <w:pStyle w:val="5"/>
        <w:rPr>
          <w:rFonts w:hint="eastAsia" w:ascii="仿宋" w:hAnsi="仿宋" w:eastAsia="仿宋" w:cs="仿宋"/>
        </w:rPr>
      </w:pPr>
      <w:bookmarkStart w:id="8" w:name="_Toc12200"/>
      <w:r>
        <w:rPr>
          <w:rFonts w:hint="eastAsia" w:ascii="仿宋" w:hAnsi="仿宋" w:eastAsia="仿宋" w:cs="仿宋"/>
        </w:rPr>
        <w:t>1.2.2 AI 모델 마켓 및 트레이딩 플랫폼</w:t>
      </w:r>
      <w:bookmarkEnd w:id="8"/>
    </w:p>
    <w:p w14:paraId="565D371E">
      <w:pPr>
        <w:rPr>
          <w:rFonts w:hint="eastAsia" w:ascii="仿宋" w:hAnsi="仿宋" w:eastAsia="仿宋" w:cs="仿宋"/>
        </w:rPr>
      </w:pPr>
      <w:r>
        <w:rPr>
          <w:rFonts w:hint="eastAsia" w:ascii="仿宋" w:hAnsi="仿宋" w:eastAsia="仿宋" w:cs="仿宋"/>
        </w:rPr>
        <w:t>최근 인공지능 모델의 자산화 및 거래 플랫폼 구축에 대한 연구가 활발해지고 있습니다. Chen 등(2020)은 연합 전이 학습 기반의 건강 모니터링 프레임워크인 FedHealth를 제안하고 기관 간 모델 공유의 기술적 방향을 처음으로 탐구했습니다[12]. Liu 등(2022)은 데이터의 Shapley 값을 기반으로 연합 학습 참여자의 기여도를 평가하는 GTG-Shapley 방법을 제안했습니다. 이 방법은 계산 효율성과 평가 정확도 사이에서 우수한 균형을 이루었지만, 연구 시나리오가 학습 단계의 기여도 평가에만 국한되어 전체 모델 거래 시장으로 확장하는 데에는 한계가 있었습니다[13]. 상용 플랫폼 측면에서는 HuggingFace와 ModelScope가 모델 출시 생태계에서 주목할 만한 성과를 거두었지만, 앞서 언급했듯이 산업 5.0의 특정 요구 사항에 맞춘 수직화 및 상용화 역량은 여전히 부족합니다.</w:t>
      </w:r>
    </w:p>
    <w:p w14:paraId="65BB88B6">
      <w:pPr>
        <w:pStyle w:val="5"/>
        <w:rPr>
          <w:rFonts w:hint="eastAsia" w:ascii="仿宋" w:hAnsi="仿宋" w:eastAsia="仿宋" w:cs="仿宋"/>
        </w:rPr>
      </w:pPr>
      <w:bookmarkStart w:id="9" w:name="_Toc2273"/>
      <w:r>
        <w:rPr>
          <w:rFonts w:hint="eastAsia" w:ascii="仿宋" w:hAnsi="仿宋" w:eastAsia="仿宋" w:cs="仿宋"/>
        </w:rPr>
        <w:t>1.2.3 블록체인 기반 모델 검증 및 인센티브 메커니즘</w:t>
      </w:r>
      <w:bookmarkEnd w:id="9"/>
    </w:p>
    <w:p w14:paraId="4C573779">
      <w:pPr>
        <w:rPr>
          <w:rFonts w:hint="eastAsia" w:ascii="仿宋" w:hAnsi="仿宋" w:eastAsia="仿宋" w:cs="仿宋"/>
        </w:rPr>
      </w:pPr>
      <w:r>
        <w:rPr>
          <w:rFonts w:hint="eastAsia" w:ascii="仿宋" w:hAnsi="仿宋" w:eastAsia="仿宋" w:cs="仿宋"/>
        </w:rPr>
        <w:t>AI 모델 거버넌스에서 블록체인 기술의 적용은 주로 무결성 검증과 신뢰할 수 있는 추적성을 중심으로 이루어집니다. Zhang et al.(2021)은 Hyperledger Fabric 기반의 모델 버전 관리 및 감사 추적 체계를 제안했고[14], Kumar et al.(2021)은 스마트 계약 기반의 자동화된 모델 권한 부여 및 로열티 분배 메커니즘을 설계했습니다[15]. 인센티브 메커니즘 측면에서 Kang et al.(2019)은 평판 시스템과 계약 이론을 결합하여 신뢰할 수 있는 연합 학습을 위한 공동 최적화 인센티브 프레임워크를 제안하고 시뮬레이션을 통해 참여율 향상 및 악의적 행위 억제 효과를 검증했습니다[16]. Wang et al.(2021)은 계약 이론을 활용하여 드론 지원 군중 인식 시나리오에서 안전한 연합 학습의 인센티브 문제에 대한 엄밀한 형식 모델링을 수행했습니다[17]. 위의 연구들은 본 연구에 중요한 방법론적 토대를 제공하지만, 블록체인 공증, 계약 이론적 인센티브, AI 모델 시장을 유기적으로 통합한 종합적인 연구는 아직 부족합니다.</w:t>
      </w:r>
    </w:p>
    <w:p w14:paraId="45697D06">
      <w:pPr>
        <w:pStyle w:val="5"/>
        <w:rPr>
          <w:rFonts w:hint="eastAsia" w:ascii="仿宋" w:hAnsi="仿宋" w:eastAsia="仿宋" w:cs="仿宋"/>
        </w:rPr>
      </w:pPr>
      <w:bookmarkStart w:id="10" w:name="_Toc15994"/>
      <w:r>
        <w:rPr>
          <w:rFonts w:hint="eastAsia" w:ascii="仿宋" w:hAnsi="仿宋" w:eastAsia="仿宋" w:cs="仿宋"/>
        </w:rPr>
        <w:t>1.2.4 기존 연구의 한계점 및 본 연구의 독창성</w:t>
      </w:r>
      <w:bookmarkEnd w:id="10"/>
    </w:p>
    <w:p w14:paraId="0518A4AB">
      <w:pPr>
        <w:rPr>
          <w:rFonts w:hint="eastAsia" w:ascii="仿宋" w:hAnsi="仿宋" w:eastAsia="仿宋" w:cs="仿宋"/>
        </w:rPr>
      </w:pPr>
      <w:r>
        <w:rPr>
          <w:rFonts w:hint="eastAsia" w:ascii="仿宋" w:hAnsi="仿宋" w:eastAsia="仿宋" w:cs="仿宋"/>
        </w:rPr>
        <w:t>위의 문헌 분석을 바탕으로 다음과 같은 일반적인 연구 격차를 확인할 수 있습니다. (1) 단일 기술에 대한 연구는 풍부하지만, 연합 학습, 블록체인, 프라이버시 컴퓨팅 및 게임 이론을 통합하여 완전한 AI 모델 거래 시장 아키텍처를 구축하는 체계적인 연구는 부족합니다. (2) 대부분의 연구는 일반적인 시나리오에 기반하고 있으며, 실시간 성능, 엣지 이질성, 비독립동일분포(NID) 데이터 분포 및 엄격한 규정 준수 요구 사항과 같은 5.0 산업의 특수한 제약 조건에 충분히 대응하지 못하고 있습니다. (3) 모델 품질 평가, 개인정보 보호 및 인센티브 할당은 종종 개별적으로 연구되고 있으며, 통합적이고 포괄적인 프레임워크가 부족합니다.</w:t>
      </w:r>
    </w:p>
    <w:p w14:paraId="05953F2E">
      <w:pPr>
        <w:rPr>
          <w:rFonts w:hint="eastAsia" w:ascii="仿宋" w:hAnsi="仿宋" w:eastAsia="仿宋" w:cs="仿宋"/>
        </w:rPr>
      </w:pPr>
      <w:r>
        <w:rPr>
          <w:rFonts w:hint="eastAsia" w:ascii="仿宋" w:hAnsi="仿宋" w:eastAsia="仿宋" w:cs="仿宋"/>
        </w:rPr>
        <w:t>앞서 언급한 격차를 해소하기 위해 본 연구는 세 가지 측면에서 혁신적입니다. 첫째, 엣지 컴퓨팅, 연합 학습, 프라이버시 컴퓨팅, 블록체인 기술을 통합한 5계층 하이브리드 아키텍처를 상세하게 설계하여, 5.0 산업 환경에서 AI 모델 거래 시장을 위한 완벽하고 체계적인 참조 설계안을 제시합니다. 둘째, 계약 이론과 샤플리 값을 혁신적으로 통합한 2계층 동적 인센티브 메커니즘을 개발했습니다. 첫 번째 계층은 계약 메뉴를 통해 정보 비대칭 상황에서 공급자의 자기 선택 문제를 해결하고, 두 번째 계층은 샤플리 값을 통해 한계 기여도에 정확히 부합하는 공정한 배분을 실현합니다. 셋째, 프로토타입 시스템 구현과 체계적인 다차원 실험을 통해 모델 성능, 프라이버시 보호, 거래 신뢰성 간의 삼원적 상충 관계에 대한 최초의 실증적 정량 분석을 수행합니다.</w:t>
      </w:r>
    </w:p>
    <w:p w14:paraId="21B300CF">
      <w:pPr>
        <w:pStyle w:val="4"/>
        <w:rPr>
          <w:rFonts w:hint="eastAsia" w:ascii="仿宋" w:hAnsi="仿宋" w:eastAsia="仿宋" w:cs="仿宋"/>
        </w:rPr>
      </w:pPr>
      <w:bookmarkStart w:id="11" w:name="_Toc15759"/>
      <w:r>
        <w:rPr>
          <w:rFonts w:hint="eastAsia" w:ascii="仿宋" w:hAnsi="仿宋" w:eastAsia="仿宋" w:cs="仿宋"/>
        </w:rPr>
        <w:t>1.3 연구 내용 및 혁신</w:t>
      </w:r>
      <w:bookmarkEnd w:id="11"/>
    </w:p>
    <w:p w14:paraId="222B4D50">
      <w:pPr>
        <w:rPr>
          <w:rFonts w:hint="eastAsia" w:ascii="仿宋" w:hAnsi="仿宋" w:eastAsia="仿宋" w:cs="仿宋"/>
        </w:rPr>
      </w:pPr>
      <w:r>
        <w:rPr>
          <w:rFonts w:hint="eastAsia" w:ascii="仿宋" w:hAnsi="仿宋" w:eastAsia="仿宋" w:cs="仿宋"/>
        </w:rPr>
        <w:t>본 연구의 전반적인 목표는 인더스트리 5.0 환경에 적합한 AI 모델 기반 거래 시장 아키텍처를 설계하고, 참여자들이 지속적으로 고품질의 기여를 하도록 동기를 부여하는 인센티브 메커니즘을 개발하며, 프로토타입 시스템을 통해 포괄적인 실증적 검증을 수행하는 것입니다. 구체적인 연구 내용은 다음과 같은 여섯 가지 측면을 다룹니다.</w:t>
      </w:r>
    </w:p>
    <w:p w14:paraId="3C80705B">
      <w:pPr>
        <w:rPr>
          <w:rFonts w:hint="eastAsia" w:ascii="仿宋" w:hAnsi="仿宋" w:eastAsia="仿宋" w:cs="仿宋"/>
        </w:rPr>
      </w:pPr>
      <w:r>
        <w:rPr>
          <w:rFonts w:hint="eastAsia" w:ascii="仿宋" w:hAnsi="仿宋" w:eastAsia="仿宋" w:cs="仿宋"/>
        </w:rPr>
        <w:t>(1) 산업 5.0의 핵심 요구사항(실시간 성능, 보안 및 확장성)을 충족하는 AI 모델 거래 시장을 위한 5계층 하이브리드 아키텍처가 제안되었다.</w:t>
      </w:r>
    </w:p>
    <w:p w14:paraId="3EB335E8">
      <w:pPr>
        <w:rPr>
          <w:rFonts w:hint="eastAsia" w:ascii="仿宋" w:hAnsi="仿宋" w:eastAsia="仿宋" w:cs="仿宋"/>
        </w:rPr>
      </w:pPr>
      <w:r>
        <w:rPr>
          <w:rFonts w:hint="eastAsia" w:ascii="仿宋" w:hAnsi="仿宋" w:eastAsia="仿宋" w:cs="仿宋"/>
        </w:rPr>
        <w:t>(2) 계약 이론에 근거하여 3단계 품질 계약 메뉴를 설계하고 정보 비대칭성 하에서 최적의 인센티브 계약을 해결합니다.</w:t>
      </w:r>
    </w:p>
    <w:p w14:paraId="184DE05A">
      <w:pPr>
        <w:rPr>
          <w:rFonts w:hint="eastAsia" w:ascii="仿宋" w:hAnsi="仿宋" w:eastAsia="仿宋" w:cs="仿宋"/>
        </w:rPr>
      </w:pPr>
      <w:r>
        <w:rPr>
          <w:rFonts w:hint="eastAsia" w:ascii="仿宋" w:hAnsi="仿宋" w:eastAsia="仿宋" w:cs="仿宋"/>
        </w:rPr>
        <w:t>(3) 모델 품질, 데이터 기여도, 컴퓨팅 자원 및 평판을 통합하는 4차원 기여도 평가 모델을 구축합니다.</w:t>
      </w:r>
    </w:p>
    <w:p w14:paraId="158C310C">
      <w:pPr>
        <w:rPr>
          <w:rFonts w:hint="eastAsia" w:ascii="仿宋" w:hAnsi="仿宋" w:eastAsia="仿宋" w:cs="仿宋"/>
        </w:rPr>
      </w:pPr>
      <w:r>
        <w:rPr>
          <w:rFonts w:hint="eastAsia" w:ascii="仿宋" w:hAnsi="仿宋" w:eastAsia="仿宋" w:cs="仿宋"/>
        </w:rPr>
        <w:t>(4) TMC-Shapley 근사 알고리즘을 기반으로 공정한 수익 분배 메커니즘을 설계하고 구현합니다.</w:t>
      </w:r>
    </w:p>
    <w:p w14:paraId="00CEE4A1">
      <w:pPr>
        <w:rPr>
          <w:rFonts w:hint="eastAsia" w:ascii="仿宋" w:hAnsi="仿宋" w:eastAsia="仿宋" w:cs="仿宋"/>
        </w:rPr>
      </w:pPr>
      <w:r>
        <w:rPr>
          <w:rFonts w:hint="eastAsia" w:ascii="仿宋" w:hAnsi="仿宋" w:eastAsia="仿宋" w:cs="仿宋"/>
        </w:rPr>
        <w:t>(5) 차분 프라이버시와 안전한 다자간 컴퓨팅을 기반으로 하는 통합 프라이버시 보호 프레임워크를 구축하고 프라이버시-유용성 상충관계를 분석합니다.</w:t>
      </w:r>
    </w:p>
    <w:p w14:paraId="1774E1DD">
      <w:pPr>
        <w:rPr>
          <w:rFonts w:hint="eastAsia" w:ascii="仿宋" w:hAnsi="仿宋" w:eastAsia="仿宋" w:cs="仿宋"/>
        </w:rPr>
      </w:pPr>
      <w:r>
        <w:rPr>
          <w:rFonts w:hint="eastAsia" w:ascii="仿宋" w:hAnsi="仿宋" w:eastAsia="仿宋" w:cs="仿宋"/>
        </w:rPr>
        <w:t>(6) 연합 학습 성능, 인센티브 공정성, 개인 정보 보호 효과 및 시스템 확장성에 대한 다차원 실험을 통해 프로토타입 시스템을 개발하고 종합적인 검증을 수행합니다.</w:t>
      </w:r>
    </w:p>
    <w:p w14:paraId="5BB8CDA8">
      <w:pPr>
        <w:rPr>
          <w:rFonts w:hint="eastAsia" w:ascii="仿宋" w:hAnsi="仿宋" w:eastAsia="仿宋" w:cs="仿宋"/>
        </w:rPr>
      </w:pPr>
      <w:r>
        <w:rPr>
          <w:rFonts w:hint="eastAsia" w:ascii="仿宋" w:hAnsi="仿宋" w:eastAsia="仿宋" w:cs="仿宋"/>
        </w:rPr>
        <w:t>주요 혁신 사항은 다음과 같이 요약할 수 있다: (1) 분산 제어 + 중앙 집중 실행의 계층형 하이브리드 아키텍처 설계 패러다임을 최초로 제안하였다; (2) 계약 이론과 Shapley 값을 2계층 인센티브 메커니즘에 통합하여 정보 비대칭과 공정한 분배 문제를 동시에 해결하였다; (3) AI 모델 거래 시장에서 삼중 딜레마 관계에 대한 최초의 실증적 정량 분석을 수행하였다.</w:t>
      </w:r>
    </w:p>
    <w:p w14:paraId="274BA565">
      <w:pPr>
        <w:pStyle w:val="4"/>
        <w:rPr>
          <w:rFonts w:hint="eastAsia" w:ascii="仿宋" w:hAnsi="仿宋" w:eastAsia="仿宋" w:cs="仿宋"/>
        </w:rPr>
      </w:pPr>
      <w:bookmarkStart w:id="12" w:name="_Toc30111"/>
      <w:r>
        <w:rPr>
          <w:rFonts w:hint="eastAsia" w:ascii="仿宋" w:hAnsi="仿宋" w:eastAsia="仿宋" w:cs="仿宋"/>
        </w:rPr>
        <w:t>1.4 논문 구성 구조</w:t>
      </w:r>
      <w:bookmarkEnd w:id="12"/>
    </w:p>
    <w:p w14:paraId="3729CF71">
      <w:pPr>
        <w:rPr>
          <w:rFonts w:hint="eastAsia" w:ascii="仿宋" w:hAnsi="仿宋" w:eastAsia="仿宋" w:cs="仿宋"/>
        </w:rPr>
      </w:pPr>
      <w:r>
        <w:rPr>
          <w:rFonts w:hint="eastAsia" w:ascii="仿宋" w:hAnsi="仿宋" w:eastAsia="仿宋" w:cs="仿宋"/>
        </w:rPr>
        <w:t>본 논문은 총 6개의 장으로 구성되어 있습니다. 제1장 서론에서는 연구 배경, 문헌 고찰, 연구 목표 및 혁신적 관점을 제시합니다. 제2장에서는 인더스트리 5.0, 연합 학습, 블록체인, 게임 이론 등 핵심 기술적 기반을 체계적으로 소개합니다. 제3장에서는 제안하는 AI 모델 거래 시장의 5계층 하이브리드 아키텍처를 상세히 설명하며, 아키텍처 개요, 각 계층의 상세 설계, 모델 표현 표준 및 개인정보 보호 전략을 제시합니다. 제4장에서는 계약 이론과 샤플리 값에 기반한 2계층 동적 인센티브 메커니즘에 대한 정형 모델링 및 이론적 분석을 제공합니다. 제5장에서는 프로토타입 시스템 구현 및 종합적인 실험 결과를 제시하고, 연합 학습 성능, 인센티브 공정성, 개인정보 보호 효과 및 시스템 확장성을 체계적으로 분석합니다. 제6장에서는 연구 결과를 요약하고, 학술적 및 실무적 함의를 도출하며, 연구의 한계점과 향후 연구 방향을 제시합니다.</w:t>
      </w:r>
    </w:p>
    <w:p w14:paraId="62A18FA3">
      <w:pPr>
        <w:rPr>
          <w:rFonts w:hint="eastAsia" w:ascii="仿宋" w:hAnsi="仿宋" w:eastAsia="仿宋" w:cs="仿宋"/>
        </w:rPr>
      </w:pPr>
      <w:r>
        <w:rPr>
          <w:rFonts w:hint="eastAsia" w:ascii="仿宋" w:hAnsi="仿宋" w:eastAsia="仿宋" w:cs="仿宋"/>
        </w:rPr>
        <w:br w:type="page"/>
      </w:r>
    </w:p>
    <w:p w14:paraId="15DF79F3">
      <w:pPr>
        <w:pStyle w:val="3"/>
        <w:jc w:val="center"/>
        <w:rPr>
          <w:rFonts w:hint="eastAsia" w:ascii="仿宋" w:hAnsi="仿宋" w:eastAsia="仿宋" w:cs="仿宋"/>
          <w:sz w:val="36"/>
          <w:szCs w:val="36"/>
        </w:rPr>
      </w:pPr>
      <w:bookmarkStart w:id="13" w:name="_Toc11957"/>
      <w:r>
        <w:rPr>
          <w:rFonts w:hint="eastAsia" w:ascii="仿宋" w:hAnsi="仿宋" w:eastAsia="仿宋" w:cs="仿宋"/>
          <w:sz w:val="36"/>
          <w:szCs w:val="36"/>
        </w:rPr>
        <w:t>제2장 관련 기술 및 이론적 기초</w:t>
      </w:r>
      <w:bookmarkEnd w:id="13"/>
    </w:p>
    <w:p w14:paraId="5C103F22">
      <w:pPr>
        <w:pStyle w:val="4"/>
        <w:rPr>
          <w:rFonts w:hint="eastAsia" w:ascii="仿宋" w:hAnsi="仿宋" w:eastAsia="仿宋" w:cs="仿宋"/>
        </w:rPr>
      </w:pPr>
      <w:bookmarkStart w:id="14" w:name="_Toc7190"/>
      <w:r>
        <w:rPr>
          <w:rFonts w:hint="eastAsia" w:ascii="仿宋" w:hAnsi="仿宋" w:eastAsia="仿宋" w:cs="仿宋"/>
        </w:rPr>
        <w:t>2.1 인더스트리 5.0 개념 및 기술 시스템</w:t>
      </w:r>
      <w:bookmarkEnd w:id="14"/>
    </w:p>
    <w:p w14:paraId="548A645E">
      <w:pPr>
        <w:pStyle w:val="5"/>
        <w:rPr>
          <w:rFonts w:hint="eastAsia" w:ascii="仿宋" w:hAnsi="仿宋" w:eastAsia="仿宋" w:cs="仿宋"/>
        </w:rPr>
      </w:pPr>
      <w:bookmarkStart w:id="15" w:name="_Toc5307"/>
      <w:r>
        <w:rPr>
          <w:rFonts w:hint="eastAsia" w:ascii="仿宋" w:hAnsi="仿宋" w:eastAsia="仿宋" w:cs="仿宋"/>
        </w:rPr>
        <w:t>2.1.1 산업 5.0과 산업 4.0의 비교 분석</w:t>
      </w:r>
      <w:bookmarkEnd w:id="15"/>
    </w:p>
    <w:p w14:paraId="2BC9A258">
      <w:pPr>
        <w:rPr>
          <w:rFonts w:hint="eastAsia" w:ascii="仿宋" w:hAnsi="仿宋" w:eastAsia="仿宋" w:cs="仿宋"/>
        </w:rPr>
      </w:pPr>
      <w:r>
        <w:rPr>
          <w:rFonts w:hint="eastAsia" w:ascii="仿宋" w:hAnsi="仿宋" w:eastAsia="仿宋" w:cs="仿宋"/>
        </w:rPr>
        <w:t>인더스트리 4.0과 인더스트리 5.0의 근본적인 차이점은 기술적 접근 방식뿐만 아니라 가치 지향 및 시스템 철학에서도 더욱 심오하게 드러납니다. 표 2.1은 두 패러다임의 핵심 차이점을 다차원적으로 비교하고 있으며, 그림 2.1은 두 패러다임의 개념 모델을 시각적으로 비교하고 있습니다.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3E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642340">
            <w:pPr>
              <w:rPr>
                <w:rFonts w:hint="eastAsia" w:ascii="仿宋" w:hAnsi="仿宋" w:eastAsia="仿宋" w:cs="仿宋"/>
              </w:rPr>
            </w:pPr>
            <w:r>
              <w:rPr>
                <w:rFonts w:hint="eastAsia" w:ascii="仿宋" w:hAnsi="仿宋" w:eastAsia="仿宋" w:cs="仿宋"/>
                <w:b/>
                <w:sz w:val="18"/>
              </w:rPr>
              <w:t>비교 차원</w:t>
            </w:r>
          </w:p>
        </w:tc>
        <w:tc>
          <w:tcPr>
            <w:tcW w:w="2880" w:type="dxa"/>
          </w:tcPr>
          <w:p w14:paraId="270D94D6">
            <w:pPr>
              <w:rPr>
                <w:rFonts w:hint="eastAsia" w:ascii="仿宋" w:hAnsi="仿宋" w:eastAsia="仿宋" w:cs="仿宋"/>
              </w:rPr>
            </w:pPr>
            <w:r>
              <w:rPr>
                <w:rFonts w:hint="eastAsia" w:ascii="仿宋" w:hAnsi="仿宋" w:eastAsia="仿宋" w:cs="仿宋"/>
                <w:b/>
                <w:sz w:val="18"/>
              </w:rPr>
              <w:t>인더스트리 4.0</w:t>
            </w:r>
          </w:p>
        </w:tc>
        <w:tc>
          <w:tcPr>
            <w:tcW w:w="2880" w:type="dxa"/>
          </w:tcPr>
          <w:p w14:paraId="3142BC03">
            <w:pPr>
              <w:rPr>
                <w:rFonts w:hint="eastAsia" w:ascii="仿宋" w:hAnsi="仿宋" w:eastAsia="仿宋" w:cs="仿宋"/>
              </w:rPr>
            </w:pPr>
            <w:r>
              <w:rPr>
                <w:rFonts w:hint="eastAsia" w:ascii="仿宋" w:hAnsi="仿宋" w:eastAsia="仿宋" w:cs="仿宋"/>
                <w:b/>
                <w:sz w:val="18"/>
              </w:rPr>
              <w:t>인더스트리 5.0</w:t>
            </w:r>
          </w:p>
        </w:tc>
      </w:tr>
      <w:tr w14:paraId="2C5A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EA55EF">
            <w:pPr>
              <w:rPr>
                <w:rFonts w:hint="eastAsia" w:ascii="仿宋" w:hAnsi="仿宋" w:eastAsia="仿宋" w:cs="仿宋"/>
              </w:rPr>
            </w:pPr>
            <w:r>
              <w:rPr>
                <w:rFonts w:hint="eastAsia" w:ascii="仿宋" w:hAnsi="仿宋" w:eastAsia="仿宋" w:cs="仿宋"/>
                <w:sz w:val="18"/>
              </w:rPr>
              <w:t>핵심 가치</w:t>
            </w:r>
          </w:p>
        </w:tc>
        <w:tc>
          <w:tcPr>
            <w:tcW w:w="2880" w:type="dxa"/>
          </w:tcPr>
          <w:p w14:paraId="6446A127">
            <w:pPr>
              <w:rPr>
                <w:rFonts w:hint="eastAsia" w:ascii="仿宋" w:hAnsi="仿宋" w:eastAsia="仿宋" w:cs="仿宋"/>
              </w:rPr>
            </w:pPr>
            <w:r>
              <w:rPr>
                <w:rFonts w:hint="eastAsia" w:ascii="仿宋" w:hAnsi="仿宋" w:eastAsia="仿宋" w:cs="仿宋"/>
                <w:sz w:val="18"/>
              </w:rPr>
              <w:t>효율성, 생산성, 자동화</w:t>
            </w:r>
          </w:p>
        </w:tc>
        <w:tc>
          <w:tcPr>
            <w:tcW w:w="2880" w:type="dxa"/>
          </w:tcPr>
          <w:p w14:paraId="55D90377">
            <w:pPr>
              <w:rPr>
                <w:rFonts w:hint="eastAsia" w:ascii="仿宋" w:hAnsi="仿宋" w:eastAsia="仿宋" w:cs="仿宋"/>
              </w:rPr>
            </w:pPr>
            <w:r>
              <w:rPr>
                <w:rFonts w:hint="eastAsia" w:ascii="仿宋" w:hAnsi="仿宋" w:eastAsia="仿宋" w:cs="仿宋"/>
                <w:sz w:val="18"/>
              </w:rPr>
              <w:t>인간 중심, 지속가능성, 회복력</w:t>
            </w:r>
          </w:p>
        </w:tc>
      </w:tr>
      <w:tr w14:paraId="1198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4AAB4F">
            <w:pPr>
              <w:rPr>
                <w:rFonts w:hint="eastAsia" w:ascii="仿宋" w:hAnsi="仿宋" w:eastAsia="仿宋" w:cs="仿宋"/>
              </w:rPr>
            </w:pPr>
            <w:r>
              <w:rPr>
                <w:rFonts w:hint="eastAsia" w:ascii="仿宋" w:hAnsi="仿宋" w:eastAsia="仿宋" w:cs="仿宋"/>
                <w:sz w:val="18"/>
              </w:rPr>
              <w:t>인간의 역할</w:t>
            </w:r>
          </w:p>
        </w:tc>
        <w:tc>
          <w:tcPr>
            <w:tcW w:w="2880" w:type="dxa"/>
          </w:tcPr>
          <w:p w14:paraId="06C6CDF3">
            <w:pPr>
              <w:rPr>
                <w:rFonts w:hint="eastAsia" w:ascii="仿宋" w:hAnsi="仿宋" w:eastAsia="仿宋" w:cs="仿宋"/>
              </w:rPr>
            </w:pPr>
            <w:r>
              <w:rPr>
                <w:rFonts w:hint="eastAsia" w:ascii="仿宋" w:hAnsi="仿宋" w:eastAsia="仿宋" w:cs="仿宋"/>
                <w:sz w:val="18"/>
              </w:rPr>
              <w:t>시스템 관리자 및 운영자</w:t>
            </w:r>
          </w:p>
        </w:tc>
        <w:tc>
          <w:tcPr>
            <w:tcW w:w="2880" w:type="dxa"/>
          </w:tcPr>
          <w:p w14:paraId="12C64695">
            <w:pPr>
              <w:rPr>
                <w:rFonts w:hint="eastAsia" w:ascii="仿宋" w:hAnsi="仿宋" w:eastAsia="仿宋" w:cs="仿宋"/>
              </w:rPr>
            </w:pPr>
            <w:r>
              <w:rPr>
                <w:rFonts w:hint="eastAsia" w:ascii="仿宋" w:hAnsi="仿宋" w:eastAsia="仿宋" w:cs="仿宋"/>
                <w:sz w:val="18"/>
              </w:rPr>
              <w:t>창의적인 협력자 및 의사 결정자</w:t>
            </w:r>
          </w:p>
        </w:tc>
      </w:tr>
      <w:tr w14:paraId="769C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3C8E67">
            <w:pPr>
              <w:rPr>
                <w:rFonts w:hint="eastAsia" w:ascii="仿宋" w:hAnsi="仿宋" w:eastAsia="仿宋" w:cs="仿宋"/>
              </w:rPr>
            </w:pPr>
            <w:r>
              <w:rPr>
                <w:rFonts w:hint="eastAsia" w:ascii="仿宋" w:hAnsi="仿宋" w:eastAsia="仿宋" w:cs="仿宋"/>
                <w:sz w:val="18"/>
              </w:rPr>
              <w:t>기술적 초점</w:t>
            </w:r>
          </w:p>
        </w:tc>
        <w:tc>
          <w:tcPr>
            <w:tcW w:w="2880" w:type="dxa"/>
          </w:tcPr>
          <w:p w14:paraId="4A93C055">
            <w:pPr>
              <w:rPr>
                <w:rFonts w:hint="eastAsia" w:ascii="仿宋" w:hAnsi="仿宋" w:eastAsia="仿宋" w:cs="仿宋"/>
              </w:rPr>
            </w:pPr>
            <w:r>
              <w:rPr>
                <w:rFonts w:hint="eastAsia" w:ascii="仿宋" w:hAnsi="仿宋" w:eastAsia="仿宋" w:cs="仿宋"/>
                <w:sz w:val="18"/>
              </w:rPr>
              <w:t>사물인터넷(IoT), 사이버물리시스템(CPS), 빅데이터 분석</w:t>
            </w:r>
          </w:p>
        </w:tc>
        <w:tc>
          <w:tcPr>
            <w:tcW w:w="2880" w:type="dxa"/>
          </w:tcPr>
          <w:p w14:paraId="6CF65261">
            <w:pPr>
              <w:rPr>
                <w:rFonts w:hint="eastAsia" w:ascii="仿宋" w:hAnsi="仿宋" w:eastAsia="仿宋" w:cs="仿宋"/>
              </w:rPr>
            </w:pPr>
            <w:r>
              <w:rPr>
                <w:rFonts w:hint="eastAsia" w:ascii="仿宋" w:hAnsi="仿宋" w:eastAsia="仿宋" w:cs="仿宋"/>
                <w:sz w:val="18"/>
              </w:rPr>
              <w:t>AI 협업, 엣지 인텔리전스, 분산 자율성</w:t>
            </w:r>
          </w:p>
        </w:tc>
      </w:tr>
      <w:tr w14:paraId="616E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35D375">
            <w:pPr>
              <w:rPr>
                <w:rFonts w:hint="eastAsia" w:ascii="仿宋" w:hAnsi="仿宋" w:eastAsia="仿宋" w:cs="仿宋"/>
              </w:rPr>
            </w:pPr>
            <w:r>
              <w:rPr>
                <w:rFonts w:hint="eastAsia" w:ascii="仿宋" w:hAnsi="仿宋" w:eastAsia="仿宋" w:cs="仿宋"/>
                <w:sz w:val="18"/>
              </w:rPr>
              <w:t>데이터 패러다임</w:t>
            </w:r>
          </w:p>
        </w:tc>
        <w:tc>
          <w:tcPr>
            <w:tcW w:w="2880" w:type="dxa"/>
          </w:tcPr>
          <w:p w14:paraId="2AFFEC24">
            <w:pPr>
              <w:rPr>
                <w:rFonts w:hint="eastAsia" w:ascii="仿宋" w:hAnsi="仿宋" w:eastAsia="仿宋" w:cs="仿宋"/>
              </w:rPr>
            </w:pPr>
            <w:r>
              <w:rPr>
                <w:rFonts w:hint="eastAsia" w:ascii="仿宋" w:hAnsi="仿宋" w:eastAsia="仿宋" w:cs="仿宋"/>
                <w:sz w:val="18"/>
              </w:rPr>
              <w:t>중앙 집중식 집계 및 분석</w:t>
            </w:r>
          </w:p>
        </w:tc>
        <w:tc>
          <w:tcPr>
            <w:tcW w:w="2880" w:type="dxa"/>
          </w:tcPr>
          <w:p w14:paraId="7828840A">
            <w:pPr>
              <w:rPr>
                <w:rFonts w:hint="eastAsia" w:ascii="仿宋" w:hAnsi="仿宋" w:eastAsia="仿宋" w:cs="仿宋"/>
              </w:rPr>
            </w:pPr>
            <w:r>
              <w:rPr>
                <w:rFonts w:hint="eastAsia" w:ascii="仿宋" w:hAnsi="仿宋" w:eastAsia="仿宋" w:cs="仿宋"/>
                <w:sz w:val="18"/>
              </w:rPr>
              <w:t>도메인을 벗어나지 않고 데이터를 활용 - 연합 학습</w:t>
            </w:r>
          </w:p>
        </w:tc>
      </w:tr>
      <w:tr w14:paraId="711C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86AF01">
            <w:pPr>
              <w:rPr>
                <w:rFonts w:hint="eastAsia" w:ascii="仿宋" w:hAnsi="仿宋" w:eastAsia="仿宋" w:cs="仿宋"/>
              </w:rPr>
            </w:pPr>
            <w:r>
              <w:rPr>
                <w:rFonts w:hint="eastAsia" w:ascii="仿宋" w:hAnsi="仿宋" w:eastAsia="仿宋" w:cs="仿宋"/>
                <w:sz w:val="18"/>
              </w:rPr>
              <w:t>보안 모델</w:t>
            </w:r>
          </w:p>
        </w:tc>
        <w:tc>
          <w:tcPr>
            <w:tcW w:w="2880" w:type="dxa"/>
          </w:tcPr>
          <w:p w14:paraId="25145E2E">
            <w:pPr>
              <w:rPr>
                <w:rFonts w:hint="eastAsia" w:ascii="仿宋" w:hAnsi="仿宋" w:eastAsia="仿宋" w:cs="仿宋"/>
              </w:rPr>
            </w:pPr>
            <w:r>
              <w:rPr>
                <w:rFonts w:hint="eastAsia" w:ascii="仿宋" w:hAnsi="仿宋" w:eastAsia="仿宋" w:cs="仿宋"/>
                <w:sz w:val="18"/>
              </w:rPr>
              <w:t>국경 보호가 최우선 과제입니다.</w:t>
            </w:r>
          </w:p>
        </w:tc>
        <w:tc>
          <w:tcPr>
            <w:tcW w:w="2880" w:type="dxa"/>
          </w:tcPr>
          <w:p w14:paraId="248D716B">
            <w:pPr>
              <w:rPr>
                <w:rFonts w:hint="eastAsia" w:ascii="仿宋" w:hAnsi="仿宋" w:eastAsia="仿宋" w:cs="仿宋"/>
              </w:rPr>
            </w:pPr>
            <w:r>
              <w:rPr>
                <w:rFonts w:hint="eastAsia" w:ascii="仿宋" w:hAnsi="仿宋" w:eastAsia="仿宋" w:cs="仿宋"/>
                <w:sz w:val="18"/>
              </w:rPr>
              <w:t>제로 트러스트 + 개인정보 보호 + 검증 가능성</w:t>
            </w:r>
          </w:p>
        </w:tc>
      </w:tr>
      <w:tr w14:paraId="249C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4C75B3D">
            <w:pPr>
              <w:rPr>
                <w:rFonts w:hint="eastAsia" w:ascii="仿宋" w:hAnsi="仿宋" w:eastAsia="仿宋" w:cs="仿宋"/>
              </w:rPr>
            </w:pPr>
            <w:r>
              <w:rPr>
                <w:rFonts w:hint="eastAsia" w:ascii="仿宋" w:hAnsi="仿宋" w:eastAsia="仿宋" w:cs="仿宋"/>
                <w:sz w:val="18"/>
              </w:rPr>
              <w:t>가치 창출</w:t>
            </w:r>
          </w:p>
        </w:tc>
        <w:tc>
          <w:tcPr>
            <w:tcW w:w="2880" w:type="dxa"/>
          </w:tcPr>
          <w:p w14:paraId="56E8CD02">
            <w:pPr>
              <w:rPr>
                <w:rFonts w:hint="eastAsia" w:ascii="仿宋" w:hAnsi="仿宋" w:eastAsia="仿宋" w:cs="仿宋"/>
              </w:rPr>
            </w:pPr>
            <w:r>
              <w:rPr>
                <w:rFonts w:hint="eastAsia" w:ascii="仿宋" w:hAnsi="仿宋" w:eastAsia="仿宋" w:cs="仿宋"/>
                <w:sz w:val="18"/>
              </w:rPr>
              <w:t>공급망의 수직적 통합</w:t>
            </w:r>
          </w:p>
        </w:tc>
        <w:tc>
          <w:tcPr>
            <w:tcW w:w="2880" w:type="dxa"/>
          </w:tcPr>
          <w:p w14:paraId="2321631D">
            <w:pPr>
              <w:rPr>
                <w:rFonts w:hint="eastAsia" w:ascii="仿宋" w:hAnsi="仿宋" w:eastAsia="仿宋" w:cs="仿宋"/>
              </w:rPr>
            </w:pPr>
            <w:r>
              <w:rPr>
                <w:rFonts w:hint="eastAsia" w:ascii="仿宋" w:hAnsi="仿宋" w:eastAsia="仿宋" w:cs="仿宋"/>
                <w:sz w:val="18"/>
              </w:rPr>
              <w:t>개방형 생태 수평 공유</w:t>
            </w:r>
          </w:p>
        </w:tc>
      </w:tr>
      <w:tr w14:paraId="724A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4B31D4">
            <w:pPr>
              <w:rPr>
                <w:rFonts w:hint="eastAsia" w:ascii="仿宋" w:hAnsi="仿宋" w:eastAsia="仿宋" w:cs="仿宋"/>
              </w:rPr>
            </w:pPr>
            <w:r>
              <w:rPr>
                <w:rFonts w:hint="eastAsia" w:ascii="仿宋" w:hAnsi="仿宋" w:eastAsia="仿宋" w:cs="仿宋"/>
                <w:sz w:val="18"/>
              </w:rPr>
              <w:t>대표적인 기술</w:t>
            </w:r>
          </w:p>
        </w:tc>
        <w:tc>
          <w:tcPr>
            <w:tcW w:w="2880" w:type="dxa"/>
          </w:tcPr>
          <w:p w14:paraId="7EE4DFAA">
            <w:pPr>
              <w:rPr>
                <w:rFonts w:hint="eastAsia" w:ascii="仿宋" w:hAnsi="仿宋" w:eastAsia="仿宋" w:cs="仿宋"/>
              </w:rPr>
            </w:pPr>
            <w:r>
              <w:rPr>
                <w:rFonts w:hint="eastAsia" w:ascii="仿宋" w:hAnsi="仿宋" w:eastAsia="仿宋" w:cs="仿宋"/>
                <w:sz w:val="18"/>
              </w:rPr>
              <w:t>PLC/SCADA, MES, ERP</w:t>
            </w:r>
          </w:p>
        </w:tc>
        <w:tc>
          <w:tcPr>
            <w:tcW w:w="2880" w:type="dxa"/>
          </w:tcPr>
          <w:p w14:paraId="69FDEA09">
            <w:pPr>
              <w:rPr>
                <w:rFonts w:hint="eastAsia" w:ascii="仿宋" w:hAnsi="仿宋" w:eastAsia="仿宋" w:cs="仿宋"/>
              </w:rPr>
            </w:pPr>
            <w:r>
              <w:rPr>
                <w:rFonts w:hint="eastAsia" w:ascii="仿宋" w:hAnsi="仿宋" w:eastAsia="仿宋" w:cs="仿宋"/>
                <w:sz w:val="18"/>
              </w:rPr>
              <w:t>연합 학습, 블록체인, TEE, DP</w:t>
            </w:r>
          </w:p>
        </w:tc>
      </w:tr>
    </w:tbl>
    <w:p w14:paraId="52F5509E">
      <w:pPr>
        <w:rPr>
          <w:rFonts w:hint="eastAsia" w:ascii="仿宋" w:hAnsi="仿宋" w:eastAsia="仿宋" w:cs="仿宋"/>
        </w:rPr>
      </w:pPr>
    </w:p>
    <w:p w14:paraId="1460A4FE">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4495" cy="2472055"/>
            <wp:effectExtent l="0" t="0" r="1905" b="4445"/>
            <wp:docPr id="12" name="图片 12" descr="translated_image_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ranslated_image_ko"/>
                    <pic:cNvPicPr>
                      <a:picLocks noChangeAspect="1"/>
                    </pic:cNvPicPr>
                  </pic:nvPicPr>
                  <pic:blipFill>
                    <a:blip r:embed="rId6"/>
                    <a:stretch>
                      <a:fillRect/>
                    </a:stretch>
                  </pic:blipFill>
                  <pic:spPr>
                    <a:xfrm>
                      <a:off x="0" y="0"/>
                      <a:ext cx="5484495" cy="2472055"/>
                    </a:xfrm>
                    <a:prstGeom prst="rect">
                      <a:avLst/>
                    </a:prstGeom>
                  </pic:spPr>
                </pic:pic>
              </a:graphicData>
            </a:graphic>
          </wp:inline>
        </w:drawing>
      </w:r>
    </w:p>
    <w:p w14:paraId="431F327F">
      <w:pPr>
        <w:jc w:val="center"/>
        <w:rPr>
          <w:rFonts w:hint="eastAsia" w:ascii="仿宋" w:hAnsi="仿宋" w:eastAsia="仿宋" w:cs="仿宋"/>
        </w:rPr>
      </w:pPr>
      <w:r>
        <w:rPr>
          <w:rFonts w:hint="eastAsia" w:ascii="仿宋" w:hAnsi="仿宋" w:eastAsia="仿宋" w:cs="仿宋"/>
          <w:i/>
          <w:sz w:val="18"/>
        </w:rPr>
        <w:t>그림 2.1 산업 4.0(왼쪽)과 산업 5.0(오른쪽) 패러다임의 개념 모델 비교</w:t>
      </w:r>
    </w:p>
    <w:p w14:paraId="36DE6F0F">
      <w:pPr>
        <w:rPr>
          <w:rFonts w:hint="eastAsia" w:ascii="仿宋" w:hAnsi="仿宋" w:eastAsia="仿宋" w:cs="仿宋"/>
        </w:rPr>
      </w:pPr>
      <w:r>
        <w:rPr>
          <w:rFonts w:hint="eastAsia" w:ascii="仿宋" w:hAnsi="仿宋" w:eastAsia="仿宋" w:cs="仿宋"/>
        </w:rPr>
        <w:t>그림 2.1에서 볼 수 있듯이, 산업 4.0은 중앙 제어 노드를 핵심으로 하는 스타 토폴로지를 나타내며 IoT, CPS 및 빅데이터 분석은 효율성 극대화라는 목표를 중심으로 작동합니다. 반면 산업 5.0은 에지 AI, 연합 학습, 블록체인 및 프라이버시 컴퓨팅 등의 기술 요소가 인간-기계 협업 허브를 통해 유기적으로 상호 연결된 분산 협업 네트워크 형태를 나타내며 인간 중심성, 지속 가능성 및 회복력이라는 핵심 가치 요구를 공동으로 지원합니다[1][2].</w:t>
      </w:r>
    </w:p>
    <w:p w14:paraId="33A6013E">
      <w:pPr>
        <w:pStyle w:val="5"/>
        <w:rPr>
          <w:rFonts w:hint="eastAsia" w:ascii="仿宋" w:hAnsi="仿宋" w:eastAsia="仿宋" w:cs="仿宋"/>
        </w:rPr>
      </w:pPr>
      <w:bookmarkStart w:id="16" w:name="_Toc2149"/>
      <w:r>
        <w:rPr>
          <w:rFonts w:hint="eastAsia" w:ascii="仿宋" w:hAnsi="仿宋" w:eastAsia="仿宋" w:cs="仿宋"/>
        </w:rPr>
        <w:t>2.1.2 인간-기계 협업 기술 프레임워크</w:t>
      </w:r>
      <w:bookmarkEnd w:id="16"/>
    </w:p>
    <w:p w14:paraId="225B47C1">
      <w:pPr>
        <w:rPr>
          <w:rFonts w:hint="eastAsia" w:ascii="仿宋" w:hAnsi="仿宋" w:eastAsia="仿宋" w:cs="仿宋"/>
        </w:rPr>
      </w:pPr>
      <w:r>
        <w:rPr>
          <w:rFonts w:hint="eastAsia" w:ascii="仿宋" w:hAnsi="仿宋" w:eastAsia="仿宋" w:cs="仿宋"/>
        </w:rPr>
        <w:t>인간-기계 협업의 기술적 구현은 세 가지 수준으로 추상화할 수 있습니다. 인지 계층에서 AI 모델은 다양한 센서 데이터와 작업자의 명시적 또는 암묵적 피드백을 통합하여 환경적 맥락을 지능적으로 인식하고 이해합니다. 상호작용 계층은 증강 현실(AR), 자연어 처리, 햅틱 피드백과 같은 기술을 통해 자연스럽고 직관적인 인간-기계 인터페이스를 구축합니다. 실행 계층은 AI 추론 결과를 물리적 생산 공정에 적용합니다. 산업 5.0 지능화의 핵심 병목 현상은 각 수준에서의 독립적인 최적화가 아니라, 이 세 수준 간의 모델 흐름과 지식 이전이라는 점에 주목할 필요가 있습니다. 본 연구에서 제안하는 AI 모델 거래 시장은 이러한 수준 간, 조직 간 모델 순환 장벽을 허물고자 합니다.</w:t>
      </w:r>
    </w:p>
    <w:p w14:paraId="310812D7">
      <w:pPr>
        <w:pStyle w:val="4"/>
        <w:rPr>
          <w:rFonts w:hint="eastAsia" w:ascii="仿宋" w:hAnsi="仿宋" w:eastAsia="仿宋" w:cs="仿宋"/>
        </w:rPr>
      </w:pPr>
      <w:bookmarkStart w:id="17" w:name="_Toc29894"/>
      <w:r>
        <w:rPr>
          <w:rFonts w:hint="eastAsia" w:ascii="仿宋" w:hAnsi="仿宋" w:eastAsia="仿宋" w:cs="仿宋"/>
        </w:rPr>
        <w:t>2.2 AI 모델 트레이딩 기술</w:t>
      </w:r>
      <w:bookmarkEnd w:id="17"/>
    </w:p>
    <w:p w14:paraId="78710107">
      <w:pPr>
        <w:pStyle w:val="5"/>
        <w:rPr>
          <w:rFonts w:hint="eastAsia" w:ascii="仿宋" w:hAnsi="仿宋" w:eastAsia="仿宋" w:cs="仿宋"/>
        </w:rPr>
      </w:pPr>
      <w:bookmarkStart w:id="18" w:name="_Toc30961"/>
      <w:r>
        <w:rPr>
          <w:rFonts w:hint="eastAsia" w:ascii="仿宋" w:hAnsi="仿宋" w:eastAsia="仿宋" w:cs="仿宋"/>
        </w:rPr>
        <w:t>2.2.1 연합 학습</w:t>
      </w:r>
      <w:bookmarkEnd w:id="18"/>
    </w:p>
    <w:p w14:paraId="090C922A">
      <w:pPr>
        <w:rPr>
          <w:rFonts w:hint="eastAsia" w:ascii="仿宋" w:hAnsi="仿宋" w:eastAsia="仿宋" w:cs="仿宋"/>
        </w:rPr>
      </w:pPr>
      <w:r>
        <w:rPr>
          <w:rFonts w:hint="eastAsia" w:ascii="仿宋" w:hAnsi="仿宋" w:eastAsia="仿宋" w:cs="仿宋"/>
        </w:rPr>
        <w:t>연합 학습은 모델을 데이터로 가져오는 것(데이터를 모델로 가져오는 것이 아니라)을 핵심 아이디어로 하는 혁신적인 분산 머신 러닝 패러다임입니다.[5] 표준 연합 학습 프로세스는 네 가지 반복 단계를 거칩니다. 중앙 서버가 전역 모델을 초기화하고 배포합니다. 각 클라이언트는 로컬 데이터를 사용하여 독립적으로 학습합니다. 클라이언트는 업데이트를 위해 모델 매개변수(또는 기울기)만 업로드합니다. 마지막으로 서버는 업데이트된 전역 모델을 안전하게 집계합니다. 이 아키텍처는 데이터 개인 정보 보호와 모델 성능 간의 충돌을 근본적으로 해결하여 [데이터는 사용 가능하지만 보이지 않는] 협업 학습을 현실로 만듭니다.</w:t>
      </w:r>
    </w:p>
    <w:p w14:paraId="0C984402">
      <w:pPr>
        <w:rPr>
          <w:rFonts w:hint="eastAsia" w:ascii="仿宋" w:hAnsi="仿宋" w:eastAsia="仿宋" w:cs="仿宋"/>
        </w:rPr>
      </w:pPr>
      <w:r>
        <w:rPr>
          <w:rFonts w:hint="eastAsia" w:ascii="仿宋" w:hAnsi="仿宋" w:eastAsia="仿宋" w:cs="仿宋"/>
        </w:rPr>
        <w:t>그러나 산업 환경에서의 연합 학습은 고유한 비독립동일분포(Non-IID) 문제를 야기합니다. 서로 다른 공장, 생산 라인, 운영 조건에서 엣지 디바이스를 통해 수집된 데이터는 범주 분포, 특징 공간, 심지어 레이블 정의에 있어서도 근본적인 차이를 보일 수 있습니다. 제조 품질 검사를 예로 들면, A 공장의 불량품은 주로 긁힘이고, B 공장은 주로 색상 차이이며, C 공장은 주로 크기 편차입니다. 이처럼 세 공장 간 데이터 분포의 높은 이질성은 표준 FedAvg 알고리즘의 수렴 효율과 최종 모델 품질을 심각하게 저하시킵니다[5][6][9]. 이러한 문제는 본 연구의 아키텍처 설계에서 연합 학습 계층이 해결해야 할 핵심적인 문제입니다.</w:t>
      </w:r>
    </w:p>
    <w:p w14:paraId="0F96CD99">
      <w:pPr>
        <w:pStyle w:val="5"/>
        <w:rPr>
          <w:rFonts w:hint="eastAsia" w:ascii="仿宋" w:hAnsi="仿宋" w:eastAsia="仿宋" w:cs="仿宋"/>
        </w:rPr>
      </w:pPr>
      <w:bookmarkStart w:id="19" w:name="_Toc29243"/>
      <w:r>
        <w:rPr>
          <w:rFonts w:hint="eastAsia" w:ascii="仿宋" w:hAnsi="仿宋" w:eastAsia="仿宋" w:cs="仿宋"/>
        </w:rPr>
        <w:t>2.2.2 엣지 컴퓨팅 및 모델 배포</w:t>
      </w:r>
      <w:bookmarkEnd w:id="19"/>
    </w:p>
    <w:p w14:paraId="483B8F21">
      <w:pPr>
        <w:rPr>
          <w:rFonts w:hint="eastAsia" w:ascii="仿宋" w:hAnsi="仿宋" w:eastAsia="仿宋" w:cs="仿宋"/>
        </w:rPr>
      </w:pPr>
      <w:r>
        <w:rPr>
          <w:rFonts w:hint="eastAsia" w:ascii="仿宋" w:hAnsi="仿宋" w:eastAsia="仿宋" w:cs="仿宋"/>
        </w:rPr>
        <w:t>엣지 컴퓨팅은 컴퓨팅 및 스토리지 리소스를 데이터 생성 소스로 이동시켜 AI 모델에 저지연, 고대역폭 효율성, 데이터 주권 제어 가능, 오프라인 사용 가능 등의 배포 환경을 제공합니다. 지식 증류(대형 모델의 지식을 소형 모델로 압축), 양자화(매개변수 정밀도를 낮춰 스토리지 및 컴퓨팅 요구 사항을 줄임), 가지치기(중복 연결 제거)를 포함하는 모델 경량화 기술은 제한된 엣지 리소스 환경에서 고성능 추론을 달성하기 위한 핵심 기술입니다[18]. AI 모델 거래 시장의 맥락에서 엣지 컴퓨팅은 모델 배포를 위한 물리적 매체를 제공할 뿐만 아니라 모델 가치의 최종 검증 사이트 역할도 수행합니다. 모델의 가치는 궁극적으로 대상 엣지 디바이스에서의 실제 추론 성능에 달려 있습니다.</w:t>
      </w:r>
    </w:p>
    <w:p w14:paraId="7A7B79AB">
      <w:pPr>
        <w:pStyle w:val="4"/>
        <w:rPr>
          <w:rFonts w:hint="eastAsia" w:ascii="仿宋" w:hAnsi="仿宋" w:eastAsia="仿宋" w:cs="仿宋"/>
        </w:rPr>
      </w:pPr>
      <w:bookmarkStart w:id="20" w:name="_Toc4078"/>
      <w:r>
        <w:rPr>
          <w:rFonts w:hint="eastAsia" w:ascii="仿宋" w:hAnsi="仿宋" w:eastAsia="仿宋" w:cs="仿宋"/>
        </w:rPr>
        <w:t>2.3 블록체인 및 스마트 계약</w:t>
      </w:r>
      <w:bookmarkEnd w:id="20"/>
    </w:p>
    <w:p w14:paraId="1E3F6245">
      <w:pPr>
        <w:rPr>
          <w:rFonts w:hint="eastAsia" w:ascii="仿宋" w:hAnsi="仿宋" w:eastAsia="仿宋" w:cs="仿宋"/>
        </w:rPr>
      </w:pPr>
      <w:r>
        <w:rPr>
          <w:rFonts w:hint="eastAsia" w:ascii="仿宋" w:hAnsi="仿宋" w:eastAsia="仿宋" w:cs="仿宋"/>
        </w:rPr>
        <w:t>블록체인은 암호학적으로 보안된 체인 데이터 구조와 분산 합의 메커니즘을 통해 신뢰할 수 없는 환경에서 신뢰할 수 있는 가치 전송을 가능하게 합니다[7][8]. 본 연구에서 블록체인은 세 가지 핵심 역할을 수행합니다. (1) 모든 모델 거래의 전체 수명 주기를 기록하는 불변 증거 저장 계층으로서, (2) 스마트 계약을 통해 인센티브 정산을 자동화하고 투명하게 실행하며, (3) 콘텐츠 해싱과 온체인 증거 저장 간의 연결을 기반으로 모델 파일의 무결성과 검증 가능성을 보장합니다.</w:t>
      </w:r>
    </w:p>
    <w:p w14:paraId="2AA04BA8">
      <w:pPr>
        <w:rPr>
          <w:rFonts w:hint="eastAsia" w:ascii="仿宋" w:hAnsi="仿宋" w:eastAsia="仿宋" w:cs="仿宋"/>
        </w:rPr>
      </w:pPr>
      <w:r>
        <w:rPr>
          <w:rFonts w:hint="eastAsia" w:ascii="仿宋" w:hAnsi="仿宋" w:eastAsia="仿宋" w:cs="仿宋"/>
        </w:rPr>
        <w:t>본 연구에서는 Hyperledger Fabric을 기본 블록체인 플랫폼으로 선정한 주된 이유는 다음과 같습니다. Hyperledger Fabric의 권한 기반 아키텍처는 기업 수준 애플리케이션의 권한 관리 요구 사항에 적합하고, 모듈형 합의 메커니즘은 퍼블릭 체인보다 우수한 트랜잭션 처리 성능을 제공하며, 채널 메커니즘은 트랜잭션 데이터의 세밀한 개인 정보 보호를 지원하고, 성숙한 스마트 계약(체인코드) 생태계는 비즈니스 로직 개발의 복잡성을 줄여줍니다[14]. 대용량 모델 파라미터 파일은 IPFS를 사용하여 오프체인에 저장되며, 파일의 내용 해시값만 블록체인에 고정되어 저장 효율성과 무결성 보장 간의 최적의 균형을 이룹니다.</w:t>
      </w:r>
    </w:p>
    <w:p w14:paraId="71C285CF">
      <w:pPr>
        <w:pStyle w:val="4"/>
        <w:rPr>
          <w:rFonts w:hint="eastAsia" w:ascii="仿宋" w:hAnsi="仿宋" w:eastAsia="仿宋" w:cs="仿宋"/>
        </w:rPr>
      </w:pPr>
      <w:bookmarkStart w:id="21" w:name="_Toc2382"/>
      <w:r>
        <w:rPr>
          <w:rFonts w:hint="eastAsia" w:ascii="仿宋" w:hAnsi="仿宋" w:eastAsia="仿宋" w:cs="仿宋"/>
        </w:rPr>
        <w:t>2.4 게임 이론과 인센티브 메커니즘</w:t>
      </w:r>
      <w:bookmarkEnd w:id="21"/>
    </w:p>
    <w:p w14:paraId="0B9AC47E">
      <w:pPr>
        <w:pStyle w:val="5"/>
        <w:rPr>
          <w:rFonts w:hint="eastAsia" w:ascii="仿宋" w:hAnsi="仿宋" w:eastAsia="仿宋" w:cs="仿宋"/>
        </w:rPr>
      </w:pPr>
      <w:bookmarkStart w:id="22" w:name="_Toc6192"/>
      <w:r>
        <w:rPr>
          <w:rFonts w:hint="eastAsia" w:ascii="仿宋" w:hAnsi="仿宋" w:eastAsia="仿宋" w:cs="仿宋"/>
        </w:rPr>
        <w:t>2.4.1 계약 이론</w:t>
      </w:r>
      <w:bookmarkEnd w:id="22"/>
    </w:p>
    <w:p w14:paraId="7918A3F3">
      <w:pPr>
        <w:rPr>
          <w:rFonts w:hint="eastAsia" w:ascii="仿宋" w:hAnsi="仿宋" w:eastAsia="仿宋" w:cs="仿宋"/>
        </w:rPr>
      </w:pPr>
      <w:r>
        <w:rPr>
          <w:rFonts w:hint="eastAsia" w:ascii="仿宋" w:hAnsi="仿宋" w:eastAsia="仿宋" w:cs="仿宋"/>
        </w:rPr>
        <w:t>계약 이론은 정보 비대칭 조건 하에서 최적 계약 설계를 연구하기 위한 엄격한 경제적 틀이다[17]. 본 연구 시나리오에서 시장 운영자(주체)는 모델의 실제 품질과 모델 제공자(대리인)의 훈련 입력 수준을 직접 관찰할 수 없으며, 역선택과 도덕적 해이라는 이중적인 문제에 직면한다. 계약 이론이 제시하는 해결책은 (품질 요구 사항-보상)의 다양한 조합을 포함하는 계약 메뉴 세트를 설계하는 것이다. 이를 통해 각 유형의 제공자는 자신의 효용 극대화를 추구하는 과정에서 자신의 실제 유형에 맞는 계약을 자발적으로 선택하게 된다. 이것이 바로 유인 호환성의 핵심 의미이다.</w:t>
      </w:r>
    </w:p>
    <w:p w14:paraId="24CF6AC7">
      <w:pPr>
        <w:pStyle w:val="5"/>
        <w:rPr>
          <w:rFonts w:hint="eastAsia" w:ascii="仿宋" w:hAnsi="仿宋" w:eastAsia="仿宋" w:cs="仿宋"/>
        </w:rPr>
      </w:pPr>
      <w:bookmarkStart w:id="23" w:name="_Toc25395"/>
      <w:r>
        <w:rPr>
          <w:rFonts w:hint="eastAsia" w:ascii="仿宋" w:hAnsi="仿宋" w:eastAsia="仿宋" w:cs="仿宋"/>
        </w:rPr>
        <w:t>2.4.2 샤플리 값</w:t>
      </w:r>
      <w:bookmarkEnd w:id="23"/>
    </w:p>
    <w:p w14:paraId="740826D2">
      <w:pPr>
        <w:rPr>
          <w:rFonts w:hint="eastAsia" w:ascii="仿宋" w:hAnsi="仿宋" w:eastAsia="仿宋" w:cs="仿宋"/>
        </w:rPr>
      </w:pPr>
      <w:r>
        <w:rPr>
          <w:rFonts w:hint="eastAsia" w:ascii="仿宋" w:hAnsi="仿宋" w:eastAsia="仿宋" w:cs="仿宋"/>
        </w:rPr>
        <w:t>1953년 노벨 경제학상 수상자인 로이드 섀플리가 제안한 섀플리 값은 협력 게임 이론에서 효율성, 대칭성, 가상성, 가산성의 네 가지 공리를 만족하는 유일한 공정한 배분 방식이다[22]. 핵심 아이디어는 각 참여자가 받아야 할 보상이 모든 가능한 동맹 형성 순서에서 동맹의 총 가치에 대한 평균 한계 기여도와 같다는 것이다. AI 모델 거래 시장에서 섀플리 값은 각 데이터/모델 제공 노드가 최종 모델 성능 향상에 기여하는 비율을 정확하게 정량화할 수 있으므로, 공정한 인센티브 배분을 위한 확실한 기준을 제공한다. 정확한 섀플리 값 계산의 지수적 계산 복잡성을 고려하여, 본 연구에서는 허용 가능한 계산 비용으로 높은 정확도의 근사치를 얻기 위해 TMC-Shapley(truncated Monte Carlo Shapley) 근사 알고리즘[21]을 채택하였다.</w:t>
      </w:r>
    </w:p>
    <w:p w14:paraId="337F4CC8">
      <w:pPr>
        <w:pStyle w:val="5"/>
        <w:rPr>
          <w:rFonts w:hint="eastAsia" w:ascii="仿宋" w:hAnsi="仿宋" w:eastAsia="仿宋" w:cs="仿宋"/>
        </w:rPr>
      </w:pPr>
      <w:bookmarkStart w:id="24" w:name="_Toc8481"/>
      <w:r>
        <w:rPr>
          <w:rFonts w:hint="eastAsia" w:ascii="仿宋" w:hAnsi="仿宋" w:eastAsia="仿宋" w:cs="仿宋"/>
        </w:rPr>
        <w:t>2.4.3 차분 프라이버시</w:t>
      </w:r>
      <w:bookmarkEnd w:id="24"/>
    </w:p>
    <w:p w14:paraId="26A86F51">
      <w:pPr>
        <w:rPr>
          <w:rFonts w:hint="eastAsia" w:ascii="仿宋" w:hAnsi="仿宋" w:eastAsia="仿宋" w:cs="仿宋"/>
        </w:rPr>
      </w:pPr>
      <w:r>
        <w:rPr>
          <w:rFonts w:hint="eastAsia" w:ascii="仿宋" w:hAnsi="仿宋" w:eastAsia="仿宋" w:cs="仿宋"/>
        </w:rPr>
        <w:t>차분 프라이버시는 현재 엄밀한 수학적 증명을 갖춘 유일한 프라이버시 보호 프레임워크입니다[19]. 핵심 메커니즘은 쿼리 결과에 신중하게 조정된 랜덤 노이즈를 주입하여 단일 데이터 레코드의 존재 여부가 출력 결과에 미치는 영향을 exp(ε) 범위로 제한하는 것입니다. 매개변수 ε(프라이버시 예산)은 프라이버시 보호 강도를 직접적으로 제어합니다. ε 값이 작을수록 보호 강도는 강해지지만 데이터 활용도 손실은 커집니다. 연합 학습 시나리오에서 차분 프라이버시는 클라이언트가 업로드한 모델 업데이트에 가우시안 노이즈를 주입함으로써 달성되며, 이를 통해 멤버 추론 공격 및 모델 역공격을 효과적으로 방어할 수 있습니다[20][23][24].</w:t>
      </w:r>
    </w:p>
    <w:p w14:paraId="041A7F36">
      <w:pPr>
        <w:rPr>
          <w:rFonts w:hint="eastAsia" w:ascii="仿宋" w:hAnsi="仿宋" w:eastAsia="仿宋" w:cs="仿宋"/>
        </w:rPr>
      </w:pPr>
      <w:r>
        <w:rPr>
          <w:rFonts w:hint="eastAsia" w:ascii="仿宋" w:hAnsi="仿宋" w:eastAsia="仿宋" w:cs="仿宋"/>
        </w:rPr>
        <w:br w:type="page"/>
      </w:r>
    </w:p>
    <w:p w14:paraId="13F0F50F">
      <w:pPr>
        <w:pStyle w:val="3"/>
        <w:jc w:val="center"/>
        <w:rPr>
          <w:rFonts w:hint="eastAsia" w:ascii="仿宋" w:hAnsi="仿宋" w:eastAsia="仿宋" w:cs="仿宋"/>
          <w:sz w:val="36"/>
          <w:szCs w:val="36"/>
        </w:rPr>
      </w:pPr>
      <w:bookmarkStart w:id="25" w:name="_Toc14503"/>
      <w:r>
        <w:rPr>
          <w:rFonts w:hint="eastAsia" w:ascii="仿宋" w:hAnsi="仿宋" w:eastAsia="仿宋" w:cs="仿宋"/>
          <w:sz w:val="36"/>
          <w:szCs w:val="36"/>
        </w:rPr>
        <w:t>제3장: 5.0 산업을 위한 AI 모델 거래 시장 아키텍처</w:t>
      </w:r>
      <w:bookmarkEnd w:id="25"/>
    </w:p>
    <w:p w14:paraId="0830DAC4">
      <w:pPr>
        <w:pStyle w:val="4"/>
        <w:rPr>
          <w:rFonts w:hint="eastAsia" w:ascii="仿宋" w:hAnsi="仿宋" w:eastAsia="仿宋" w:cs="仿宋"/>
        </w:rPr>
      </w:pPr>
      <w:bookmarkStart w:id="26" w:name="_Toc13208"/>
      <w:r>
        <w:rPr>
          <w:rFonts w:hint="eastAsia" w:ascii="仿宋" w:hAnsi="仿宋" w:eastAsia="仿宋" w:cs="仿宋"/>
        </w:rPr>
        <w:t>3.1 요구사항 분석 및 설계 목표</w:t>
      </w:r>
      <w:bookmarkEnd w:id="26"/>
    </w:p>
    <w:p w14:paraId="70E86E9C">
      <w:pPr>
        <w:rPr>
          <w:rFonts w:hint="eastAsia" w:ascii="仿宋" w:hAnsi="仿宋" w:eastAsia="仿宋" w:cs="仿宋"/>
        </w:rPr>
      </w:pPr>
      <w:r>
        <w:rPr>
          <w:rFonts w:hint="eastAsia" w:ascii="仿宋" w:hAnsi="仿宋" w:eastAsia="仿宋" w:cs="仿宋"/>
        </w:rPr>
        <w:t>인더스트리 5.0 환경을 위한 AI 모델 거래 시장은 여러 상충되는 요구 사항 사이에서 미묘한 균형을 찾아야 합니다. 표 3.1은 6가지 핵심 요구 사항과 그에 상응하는 정량적 설계 목표를 요약합니다.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CAE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D3F0E7">
            <w:pPr>
              <w:rPr>
                <w:rFonts w:hint="eastAsia" w:ascii="仿宋" w:hAnsi="仿宋" w:eastAsia="仿宋" w:cs="仿宋"/>
              </w:rPr>
            </w:pPr>
            <w:r>
              <w:rPr>
                <w:rFonts w:hint="eastAsia" w:ascii="仿宋" w:hAnsi="仿宋" w:eastAsia="仿宋" w:cs="仿宋"/>
                <w:b/>
                <w:sz w:val="18"/>
              </w:rPr>
              <w:t>수요 차원</w:t>
            </w:r>
          </w:p>
        </w:tc>
        <w:tc>
          <w:tcPr>
            <w:tcW w:w="2880" w:type="dxa"/>
          </w:tcPr>
          <w:p w14:paraId="6BD00C44">
            <w:pPr>
              <w:rPr>
                <w:rFonts w:hint="eastAsia" w:ascii="仿宋" w:hAnsi="仿宋" w:eastAsia="仿宋" w:cs="仿宋"/>
              </w:rPr>
            </w:pPr>
            <w:r>
              <w:rPr>
                <w:rFonts w:hint="eastAsia" w:ascii="仿宋" w:hAnsi="仿宋" w:eastAsia="仿宋" w:cs="仿宋"/>
                <w:b/>
                <w:sz w:val="18"/>
              </w:rPr>
              <w:t>요구사항 설명</w:t>
            </w:r>
          </w:p>
        </w:tc>
        <w:tc>
          <w:tcPr>
            <w:tcW w:w="2880" w:type="dxa"/>
          </w:tcPr>
          <w:p w14:paraId="0D94C1F9">
            <w:pPr>
              <w:rPr>
                <w:rFonts w:hint="eastAsia" w:ascii="仿宋" w:hAnsi="仿宋" w:eastAsia="仿宋" w:cs="仿宋"/>
              </w:rPr>
            </w:pPr>
            <w:r>
              <w:rPr>
                <w:rFonts w:hint="eastAsia" w:ascii="仿宋" w:hAnsi="仿宋" w:eastAsia="仿宋" w:cs="仿宋"/>
                <w:b/>
                <w:sz w:val="18"/>
              </w:rPr>
              <w:t>정량적 설계 목표</w:t>
            </w:r>
          </w:p>
        </w:tc>
      </w:tr>
      <w:tr w14:paraId="11C1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3FFA5E">
            <w:pPr>
              <w:rPr>
                <w:rFonts w:hint="eastAsia" w:ascii="仿宋" w:hAnsi="仿宋" w:eastAsia="仿宋" w:cs="仿宋"/>
              </w:rPr>
            </w:pPr>
            <w:r>
              <w:rPr>
                <w:rFonts w:hint="eastAsia" w:ascii="仿宋" w:hAnsi="仿宋" w:eastAsia="仿宋" w:cs="仿宋"/>
                <w:sz w:val="18"/>
              </w:rPr>
              <w:t>실시간</w:t>
            </w:r>
          </w:p>
        </w:tc>
        <w:tc>
          <w:tcPr>
            <w:tcW w:w="2880" w:type="dxa"/>
          </w:tcPr>
          <w:p w14:paraId="452C8CC8">
            <w:pPr>
              <w:rPr>
                <w:rFonts w:hint="eastAsia" w:ascii="仿宋" w:hAnsi="仿宋" w:eastAsia="仿宋" w:cs="仿宋"/>
              </w:rPr>
            </w:pPr>
            <w:r>
              <w:rPr>
                <w:rFonts w:hint="eastAsia" w:ascii="仿宋" w:hAnsi="仿宋" w:eastAsia="仿宋" w:cs="仿宋"/>
                <w:sz w:val="18"/>
              </w:rPr>
              <w:t>엣지 디바이스에서의 밀리초 수준 모델 추론 및 트랜잭션 응답</w:t>
            </w:r>
          </w:p>
        </w:tc>
        <w:tc>
          <w:tcPr>
            <w:tcW w:w="2880" w:type="dxa"/>
          </w:tcPr>
          <w:p w14:paraId="05AA0E7A">
            <w:pPr>
              <w:rPr>
                <w:rFonts w:hint="eastAsia" w:ascii="仿宋" w:hAnsi="仿宋" w:eastAsia="仿宋" w:cs="仿宋"/>
              </w:rPr>
            </w:pPr>
            <w:r>
              <w:rPr>
                <w:rFonts w:hint="eastAsia" w:ascii="仿宋" w:hAnsi="仿宋" w:eastAsia="仿宋" w:cs="仿宋"/>
                <w:sz w:val="18"/>
              </w:rPr>
              <w:t>모델 트랜잭션 지연 시간 &lt;= 500ms</w:t>
            </w:r>
          </w:p>
        </w:tc>
      </w:tr>
      <w:tr w14:paraId="4F2F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F3668A">
            <w:pPr>
              <w:rPr>
                <w:rFonts w:hint="eastAsia" w:ascii="仿宋" w:hAnsi="仿宋" w:eastAsia="仿宋" w:cs="仿宋"/>
              </w:rPr>
            </w:pPr>
            <w:r>
              <w:rPr>
                <w:rFonts w:hint="eastAsia" w:ascii="仿宋" w:hAnsi="仿宋" w:eastAsia="仿宋" w:cs="仿宋"/>
                <w:sz w:val="18"/>
              </w:rPr>
              <w:t>보안</w:t>
            </w:r>
          </w:p>
        </w:tc>
        <w:tc>
          <w:tcPr>
            <w:tcW w:w="2880" w:type="dxa"/>
          </w:tcPr>
          <w:p w14:paraId="77ABDB78">
            <w:pPr>
              <w:rPr>
                <w:rFonts w:hint="eastAsia" w:ascii="仿宋" w:hAnsi="仿宋" w:eastAsia="仿宋" w:cs="仿宋"/>
              </w:rPr>
            </w:pPr>
            <w:r>
              <w:rPr>
                <w:rFonts w:hint="eastAsia" w:ascii="仿宋" w:hAnsi="仿宋" w:eastAsia="仿宋" w:cs="仿宋"/>
                <w:sz w:val="18"/>
              </w:rPr>
              <w:t>모델 무결성, 변조 방지 및 검증 가능한 출처</w:t>
            </w:r>
          </w:p>
        </w:tc>
        <w:tc>
          <w:tcPr>
            <w:tcW w:w="2880" w:type="dxa"/>
          </w:tcPr>
          <w:p w14:paraId="6B30FDA1">
            <w:pPr>
              <w:rPr>
                <w:rFonts w:hint="eastAsia" w:ascii="仿宋" w:hAnsi="仿宋" w:eastAsia="仿宋" w:cs="仿宋"/>
              </w:rPr>
            </w:pPr>
            <w:r>
              <w:rPr>
                <w:rFonts w:hint="eastAsia" w:ascii="仿宋" w:hAnsi="仿宋" w:eastAsia="仿宋" w:cs="仿宋"/>
                <w:sz w:val="18"/>
              </w:rPr>
              <w:t>위조품 탐지율 &gt;= 95%</w:t>
            </w:r>
          </w:p>
        </w:tc>
      </w:tr>
      <w:tr w14:paraId="0683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64EDBA">
            <w:pPr>
              <w:rPr>
                <w:rFonts w:hint="eastAsia" w:ascii="仿宋" w:hAnsi="仿宋" w:eastAsia="仿宋" w:cs="仿宋"/>
              </w:rPr>
            </w:pPr>
            <w:r>
              <w:rPr>
                <w:rFonts w:hint="eastAsia" w:ascii="仿宋" w:hAnsi="仿宋" w:eastAsia="仿宋" w:cs="仿宋"/>
                <w:sz w:val="18"/>
              </w:rPr>
              <w:t>확장성</w:t>
            </w:r>
          </w:p>
        </w:tc>
        <w:tc>
          <w:tcPr>
            <w:tcW w:w="2880" w:type="dxa"/>
          </w:tcPr>
          <w:p w14:paraId="48FD8556">
            <w:pPr>
              <w:rPr>
                <w:rFonts w:hint="eastAsia" w:ascii="仿宋" w:hAnsi="仿宋" w:eastAsia="仿宋" w:cs="仿宋"/>
              </w:rPr>
            </w:pPr>
            <w:r>
              <w:rPr>
                <w:rFonts w:hint="eastAsia" w:ascii="仿宋" w:hAnsi="仿宋" w:eastAsia="仿宋" w:cs="仿宋"/>
                <w:sz w:val="18"/>
              </w:rPr>
              <w:t>대규모 이기종 에지 노드의 동시 접근을 지원합니다.</w:t>
            </w:r>
          </w:p>
        </w:tc>
        <w:tc>
          <w:tcPr>
            <w:tcW w:w="2880" w:type="dxa"/>
          </w:tcPr>
          <w:p w14:paraId="30779B23">
            <w:pPr>
              <w:rPr>
                <w:rFonts w:hint="eastAsia" w:ascii="仿宋" w:hAnsi="仿宋" w:eastAsia="仿宋" w:cs="仿宋"/>
              </w:rPr>
            </w:pPr>
            <w:r>
              <w:rPr>
                <w:rFonts w:hint="eastAsia" w:ascii="仿宋" w:hAnsi="仿宋" w:eastAsia="仿宋" w:cs="仿宋"/>
                <w:sz w:val="18"/>
              </w:rPr>
              <w:t>100개 이상의 노드가 안정적으로 작동 중입니다.</w:t>
            </w:r>
          </w:p>
        </w:tc>
      </w:tr>
      <w:tr w14:paraId="6611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AB74CA">
            <w:pPr>
              <w:rPr>
                <w:rFonts w:hint="eastAsia" w:ascii="仿宋" w:hAnsi="仿宋" w:eastAsia="仿宋" w:cs="仿宋"/>
              </w:rPr>
            </w:pPr>
            <w:r>
              <w:rPr>
                <w:rFonts w:hint="eastAsia" w:ascii="仿宋" w:hAnsi="仿宋" w:eastAsia="仿宋" w:cs="仿宋"/>
                <w:sz w:val="18"/>
              </w:rPr>
              <w:t>개인정보 보호</w:t>
            </w:r>
          </w:p>
        </w:tc>
        <w:tc>
          <w:tcPr>
            <w:tcW w:w="2880" w:type="dxa"/>
          </w:tcPr>
          <w:p w14:paraId="42F6E9DA">
            <w:pPr>
              <w:rPr>
                <w:rFonts w:hint="eastAsia" w:ascii="仿宋" w:hAnsi="仿宋" w:eastAsia="仿宋" w:cs="仿宋"/>
              </w:rPr>
            </w:pPr>
            <w:r>
              <w:rPr>
                <w:rFonts w:hint="eastAsia" w:ascii="仿宋" w:hAnsi="仿宋" w:eastAsia="仿宋" w:cs="仿宋"/>
                <w:sz w:val="18"/>
              </w:rPr>
              <w:t>훈련 데이터와 모델 매개변수의 이중 기밀성 보장</w:t>
            </w:r>
          </w:p>
        </w:tc>
        <w:tc>
          <w:tcPr>
            <w:tcW w:w="2880" w:type="dxa"/>
          </w:tcPr>
          <w:p w14:paraId="227E4E31">
            <w:pPr>
              <w:rPr>
                <w:rFonts w:hint="eastAsia" w:ascii="仿宋" w:hAnsi="仿宋" w:eastAsia="仿宋" w:cs="仿宋"/>
              </w:rPr>
            </w:pPr>
            <w:r>
              <w:rPr>
                <w:rFonts w:hint="eastAsia" w:ascii="仿宋" w:hAnsi="仿宋" w:eastAsia="仿宋" w:cs="仿宋"/>
                <w:sz w:val="18"/>
              </w:rPr>
              <w:t>엡실론 &lt;= 1.0 (DP)</w:t>
            </w:r>
          </w:p>
        </w:tc>
      </w:tr>
      <w:tr w14:paraId="1423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3FBE90">
            <w:pPr>
              <w:rPr>
                <w:rFonts w:hint="eastAsia" w:ascii="仿宋" w:hAnsi="仿宋" w:eastAsia="仿宋" w:cs="仿宋"/>
              </w:rPr>
            </w:pPr>
            <w:r>
              <w:rPr>
                <w:rFonts w:hint="eastAsia" w:ascii="仿宋" w:hAnsi="仿宋" w:eastAsia="仿宋" w:cs="仿宋"/>
                <w:sz w:val="18"/>
              </w:rPr>
              <w:t>공정한 분배</w:t>
            </w:r>
          </w:p>
        </w:tc>
        <w:tc>
          <w:tcPr>
            <w:tcW w:w="2880" w:type="dxa"/>
          </w:tcPr>
          <w:p w14:paraId="68440366">
            <w:pPr>
              <w:rPr>
                <w:rFonts w:hint="eastAsia" w:ascii="仿宋" w:hAnsi="仿宋" w:eastAsia="仿宋" w:cs="仿宋"/>
              </w:rPr>
            </w:pPr>
            <w:r>
              <w:rPr>
                <w:rFonts w:hint="eastAsia" w:ascii="仿宋" w:hAnsi="仿宋" w:eastAsia="仿宋" w:cs="仿宋"/>
                <w:sz w:val="18"/>
              </w:rPr>
              <w:t>기여도 기반의 차별화된 공정한 보상 분배</w:t>
            </w:r>
          </w:p>
        </w:tc>
        <w:tc>
          <w:tcPr>
            <w:tcW w:w="2880" w:type="dxa"/>
          </w:tcPr>
          <w:p w14:paraId="739D10FF">
            <w:pPr>
              <w:rPr>
                <w:rFonts w:hint="eastAsia" w:ascii="仿宋" w:hAnsi="仿宋" w:eastAsia="仿宋" w:cs="仿宋"/>
              </w:rPr>
            </w:pPr>
            <w:r>
              <w:rPr>
                <w:rFonts w:hint="eastAsia" w:ascii="仿宋" w:hAnsi="仿宋" w:eastAsia="仿宋" w:cs="仿宋"/>
                <w:sz w:val="18"/>
              </w:rPr>
              <w:t>지니 계수 &lt;= 0.35</w:t>
            </w:r>
          </w:p>
        </w:tc>
      </w:tr>
      <w:tr w14:paraId="345C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574A45">
            <w:pPr>
              <w:rPr>
                <w:rFonts w:hint="eastAsia" w:ascii="仿宋" w:hAnsi="仿宋" w:eastAsia="仿宋" w:cs="仿宋"/>
              </w:rPr>
            </w:pPr>
            <w:r>
              <w:rPr>
                <w:rFonts w:hint="eastAsia" w:ascii="仿宋" w:hAnsi="仿宋" w:eastAsia="仿宋" w:cs="仿宋"/>
                <w:sz w:val="18"/>
              </w:rPr>
              <w:t>높은 가용성</w:t>
            </w:r>
          </w:p>
        </w:tc>
        <w:tc>
          <w:tcPr>
            <w:tcW w:w="2880" w:type="dxa"/>
          </w:tcPr>
          <w:p w14:paraId="651D0BB8">
            <w:pPr>
              <w:rPr>
                <w:rFonts w:hint="eastAsia" w:ascii="仿宋" w:hAnsi="仿宋" w:eastAsia="仿宋" w:cs="仿宋"/>
              </w:rPr>
            </w:pPr>
            <w:r>
              <w:rPr>
                <w:rFonts w:hint="eastAsia" w:ascii="仿宋" w:hAnsi="仿宋" w:eastAsia="仿宋" w:cs="仿宋"/>
                <w:sz w:val="18"/>
              </w:rPr>
              <w:t>시스템의 지속적이고 안정적인 서비스 능력</w:t>
            </w:r>
          </w:p>
        </w:tc>
        <w:tc>
          <w:tcPr>
            <w:tcW w:w="2880" w:type="dxa"/>
          </w:tcPr>
          <w:p w14:paraId="581679F9">
            <w:pPr>
              <w:rPr>
                <w:rFonts w:hint="eastAsia" w:ascii="仿宋" w:hAnsi="仿宋" w:eastAsia="仿宋" w:cs="仿宋"/>
              </w:rPr>
            </w:pPr>
            <w:r>
              <w:rPr>
                <w:rFonts w:hint="eastAsia" w:ascii="仿宋" w:hAnsi="仿宋" w:eastAsia="仿宋" w:cs="仿宋"/>
                <w:sz w:val="18"/>
              </w:rPr>
              <w:t>시스템 가용성 &gt;= 99.5%</w:t>
            </w:r>
          </w:p>
        </w:tc>
      </w:tr>
    </w:tbl>
    <w:p w14:paraId="022F7AFC">
      <w:pPr>
        <w:rPr>
          <w:rFonts w:hint="eastAsia" w:ascii="仿宋" w:hAnsi="仿宋" w:eastAsia="仿宋" w:cs="仿宋"/>
        </w:rPr>
      </w:pPr>
    </w:p>
    <w:p w14:paraId="57D9202C">
      <w:pPr>
        <w:rPr>
          <w:rFonts w:hint="eastAsia" w:ascii="仿宋" w:hAnsi="仿宋" w:eastAsia="仿宋" w:cs="仿宋"/>
        </w:rPr>
      </w:pPr>
      <w:r>
        <w:rPr>
          <w:rFonts w:hint="eastAsia" w:ascii="仿宋" w:hAnsi="仿宋" w:eastAsia="仿宋" w:cs="仿宋"/>
        </w:rPr>
        <w:t>표 3.1 시스템 핵심 요구사항 및 설계 목표</w:t>
      </w:r>
    </w:p>
    <w:p w14:paraId="69FCFFFD">
      <w:pPr>
        <w:pStyle w:val="4"/>
        <w:rPr>
          <w:rFonts w:hint="eastAsia" w:ascii="仿宋" w:hAnsi="仿宋" w:eastAsia="仿宋" w:cs="仿宋"/>
        </w:rPr>
      </w:pPr>
      <w:bookmarkStart w:id="27" w:name="_Toc7656"/>
      <w:r>
        <w:rPr>
          <w:rFonts w:hint="eastAsia" w:ascii="仿宋" w:hAnsi="仿宋" w:eastAsia="仿宋" w:cs="仿宋"/>
        </w:rPr>
        <w:t>3.2 전체 건축 설계</w:t>
      </w:r>
      <w:bookmarkEnd w:id="27"/>
    </w:p>
    <w:p w14:paraId="55155F57">
      <w:pPr>
        <w:rPr>
          <w:rFonts w:hint="eastAsia" w:ascii="仿宋" w:hAnsi="仿宋" w:eastAsia="仿宋" w:cs="仿宋"/>
        </w:rPr>
      </w:pPr>
      <w:r>
        <w:rPr>
          <w:rFonts w:hint="eastAsia" w:ascii="仿宋" w:hAnsi="仿宋" w:eastAsia="仿宋" w:cs="仿宋"/>
        </w:rPr>
        <w:t>앞서 언급한 요구사항들을 해결하기 위해, 본 연구에서는 그림 3.1과 같이 분산 제어와 중앙 집중식 실행을 통합한 5계층 하이브리드 아키텍처를 제안한다. 이 아키텍처의 핵심 설계 원칙은 하위 계층의 분산 메커니즘을 통해 보안과 공정성을 보장하고, 상위 계층의 중앙 집중식 서비스를 통해 효율성과 사용자 경험을 최적화하는 것이다.</w:t>
      </w:r>
    </w:p>
    <w:p w14:paraId="387F2A62">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6400" cy="4800600"/>
            <wp:effectExtent l="0" t="0" r="0" b="0"/>
            <wp:docPr id="13" name="图片 13" descr="translated_image_k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ranslated_image_ko (1)"/>
                    <pic:cNvPicPr>
                      <a:picLocks noChangeAspect="1"/>
                    </pic:cNvPicPr>
                  </pic:nvPicPr>
                  <pic:blipFill>
                    <a:blip r:embed="rId7"/>
                    <a:stretch>
                      <a:fillRect/>
                    </a:stretch>
                  </pic:blipFill>
                  <pic:spPr>
                    <a:xfrm>
                      <a:off x="0" y="0"/>
                      <a:ext cx="5486400" cy="4800600"/>
                    </a:xfrm>
                    <a:prstGeom prst="rect">
                      <a:avLst/>
                    </a:prstGeom>
                  </pic:spPr>
                </pic:pic>
              </a:graphicData>
            </a:graphic>
          </wp:inline>
        </w:drawing>
      </w:r>
    </w:p>
    <w:p w14:paraId="7D5D6A51">
      <w:pPr>
        <w:jc w:val="center"/>
        <w:rPr>
          <w:rFonts w:hint="eastAsia" w:ascii="仿宋" w:hAnsi="仿宋" w:eastAsia="仿宋" w:cs="仿宋"/>
        </w:rPr>
      </w:pPr>
      <w:r>
        <w:rPr>
          <w:rFonts w:hint="eastAsia" w:ascii="仿宋" w:hAnsi="仿宋" w:eastAsia="仿宋" w:cs="仿宋"/>
          <w:i/>
          <w:sz w:val="18"/>
        </w:rPr>
        <w:t>그림 3.1 5층 하이브리드 아키텍처의 전체 설계</w:t>
      </w:r>
    </w:p>
    <w:p w14:paraId="687175B8">
      <w:pPr>
        <w:pStyle w:val="5"/>
        <w:rPr>
          <w:rFonts w:hint="eastAsia" w:ascii="仿宋" w:hAnsi="仿宋" w:eastAsia="仿宋" w:cs="仿宋"/>
        </w:rPr>
      </w:pPr>
      <w:bookmarkStart w:id="28" w:name="_Toc11901"/>
      <w:r>
        <w:rPr>
          <w:rFonts w:hint="eastAsia" w:ascii="仿宋" w:hAnsi="仿宋" w:eastAsia="仿宋" w:cs="仿宋"/>
        </w:rPr>
        <w:t>3.2.1 응용 프로그램 계층</w:t>
      </w:r>
      <w:bookmarkEnd w:id="28"/>
    </w:p>
    <w:p w14:paraId="6507B018">
      <w:pPr>
        <w:rPr>
          <w:rFonts w:hint="eastAsia" w:ascii="仿宋" w:hAnsi="仿宋" w:eastAsia="仿宋" w:cs="仿宋"/>
        </w:rPr>
      </w:pPr>
      <w:r>
        <w:rPr>
          <w:rFonts w:hint="eastAsia" w:ascii="仿宋" w:hAnsi="仿宋" w:eastAsia="仿宋" w:cs="仿宋"/>
        </w:rPr>
        <w:t>애플리케이션 계층은 인간-컴퓨터 상호작용의 진입점 역할을 하며, 세 가지 핵심 사용자 그룹을 지원합니다. 첫째, 모바일 기기나 HMI 패널을 통해 모델을 신속하게 검색하고 배포할 수 있는 산업 현장 운영자, 둘째, 웹 워크벤치를 통해 정교한 모델 관리 및 평가를 수행할 수 있는 데이터 과학자, 셋째, 관리 백엔드를 통해 마케팅 전략을 구성할 수 있는 시스템 관리자입니다. 동시에, 애플리케이션 계층은 표준 RESTful API와 gRPC 인터페이스를 제공하여 MES, ERP, SCADA와 같은 기존 산업 정보 시스템과의 원활한 통합을 지원합니다.</w:t>
      </w:r>
    </w:p>
    <w:p w14:paraId="1A17B723">
      <w:pPr>
        <w:pStyle w:val="5"/>
        <w:rPr>
          <w:rFonts w:hint="eastAsia" w:ascii="仿宋" w:hAnsi="仿宋" w:eastAsia="仿宋" w:cs="仿宋"/>
        </w:rPr>
      </w:pPr>
      <w:bookmarkStart w:id="29" w:name="_Toc11102"/>
      <w:r>
        <w:rPr>
          <w:rFonts w:hint="eastAsia" w:ascii="仿宋" w:hAnsi="仿宋" w:eastAsia="仿宋" w:cs="仿宋"/>
        </w:rPr>
        <w:t>3.2.2 서비스 계층</w:t>
      </w:r>
      <w:bookmarkEnd w:id="29"/>
    </w:p>
    <w:p w14:paraId="5645105A">
      <w:pPr>
        <w:rPr>
          <w:rFonts w:hint="eastAsia" w:ascii="仿宋" w:hAnsi="仿宋" w:eastAsia="仿宋" w:cs="仿宋"/>
        </w:rPr>
      </w:pPr>
      <w:r>
        <w:rPr>
          <w:rFonts w:hint="eastAsia" w:ascii="仿宋" w:hAnsi="仿宋" w:eastAsia="仿宋" w:cs="仿宋"/>
        </w:rPr>
        <w:t>서비스 계층은 마이크로서비스 아키텍처를 채택하여 시장의 핵심 비즈니스 기능을 4개의 독립적이고 확장 가능한 마이크로서비스로 분리합니다. 모델 등록 서비스는 모델 메타데이터의 표준화된 입력 및 온체인 등록을 담당하고, 모델 검색 및 매칭 서비스는 콘텐츠 필터링과 협업 필터링을 결합한 하이브리드 추천 알고리즘을 기반으로 정확한 수요-공급 매칭(목표 매칭 정확도 85% 이상)을 구현합니다. 거래 및 결제 서비스는 거래 생성부터 자금 정산까지 전체 라이프사이클 프로세스를 관리하고, 평가 및 피드백 서비스는 소비자 평가를 수집하여 모델 시장의 평판을 지속적으로 개선합니다.</w:t>
      </w:r>
    </w:p>
    <w:p w14:paraId="59F48549">
      <w:pPr>
        <w:pStyle w:val="5"/>
        <w:rPr>
          <w:rFonts w:hint="eastAsia" w:ascii="仿宋" w:hAnsi="仿宋" w:eastAsia="仿宋" w:cs="仿宋"/>
        </w:rPr>
      </w:pPr>
      <w:bookmarkStart w:id="30" w:name="_Toc4431"/>
      <w:r>
        <w:rPr>
          <w:rFonts w:hint="eastAsia" w:ascii="仿宋" w:hAnsi="仿宋" w:eastAsia="仿宋" w:cs="仿宋"/>
        </w:rPr>
        <w:t>3.2.3 연합 학습 계층</w:t>
      </w:r>
      <w:bookmarkEnd w:id="30"/>
    </w:p>
    <w:p w14:paraId="08624042">
      <w:pPr>
        <w:rPr>
          <w:rFonts w:hint="eastAsia" w:ascii="仿宋" w:hAnsi="仿宋" w:eastAsia="仿宋" w:cs="仿宋"/>
        </w:rPr>
      </w:pPr>
      <w:r>
        <w:rPr>
          <w:rFonts w:hint="eastAsia" w:ascii="仿宋" w:hAnsi="仿宋" w:eastAsia="仿宋" w:cs="仿宋"/>
        </w:rPr>
        <w:t>연합 학습 계층은 FedAvg[5], FedProx[9], SCAFFOLD[10]와 같은 주류 알고리즘의 통합 실행 프레임워크를 캡슐화하고, 본 연구에서 제안한 데이터 분포 인식 가중치 조정 메커니즘을 내장합니다. 이 메커니즘은 각 클라이언트가 업로드한 모델 업데이트의 통계적 특성을 분석하고, 로컬 데이터 분포 편향을 동적으로 추정하며, 전역 집계 단계에서 보상 가중치 보정을 적용합니다. 또한 이 계층은 모델 집계 과정에서 개별 데이터의 구별 불가능성을 보장하기 위해 차분 프라이버시 노이즈 주입 모듈을 통합합니다.</w:t>
      </w:r>
    </w:p>
    <w:p w14:paraId="4C6B8D56">
      <w:pPr>
        <w:pStyle w:val="5"/>
        <w:rPr>
          <w:rFonts w:hint="eastAsia" w:ascii="仿宋" w:hAnsi="仿宋" w:eastAsia="仿宋" w:cs="仿宋"/>
        </w:rPr>
      </w:pPr>
      <w:bookmarkStart w:id="31" w:name="_Toc20598"/>
      <w:r>
        <w:rPr>
          <w:rFonts w:hint="eastAsia" w:ascii="仿宋" w:hAnsi="仿宋" w:eastAsia="仿宋" w:cs="仿宋"/>
        </w:rPr>
        <w:t>3.2.4 개인정보 보호 컴퓨팅 계층</w:t>
      </w:r>
      <w:bookmarkEnd w:id="31"/>
    </w:p>
    <w:p w14:paraId="72390F68">
      <w:pPr>
        <w:rPr>
          <w:rFonts w:hint="eastAsia" w:ascii="仿宋" w:hAnsi="仿宋" w:eastAsia="仿宋" w:cs="仿宋"/>
        </w:rPr>
      </w:pPr>
      <w:r>
        <w:rPr>
          <w:rFonts w:hint="eastAsia" w:ascii="仿宋" w:hAnsi="仿宋" w:eastAsia="仿宋" w:cs="仿宋"/>
        </w:rPr>
        <w:t>개인 정보 보호 연산 계층은 다양한 보안 수준의 거래 요구 사항을 충족하기 위해 세 가지 선택적 보호 방식을 제공합니다. 레벨 1(기본 보호): 로컬 차분 개인 정보 보호(Local DP, 엡실론 값으로 설정 가능)만 적용되며, 민감도가 낮은 일반 모델 거래에 적합합니다. 레벨 2(향상된 보호): 차분 개인 정보 보호와 안전한 다자간 연산(SMPC, SPDZ 프로토콜)이 함께 적용되고 모델 매개변수가 암호화된 영역에 집계되어 영업 비밀이 포함된 산업 모델 거래에 적합합니다. 레벨 3(최고 보호): 앞의 두 레벨을 기반으로 동형 암호화(HE)가 추가되어 암호화된 상태에서 모델 추론이 가능하며, 금융 및 국방과 같은 최고 수준의 보안 시나리오에 적합합니다.</w:t>
      </w:r>
    </w:p>
    <w:p w14:paraId="663B2291">
      <w:pPr>
        <w:pStyle w:val="5"/>
        <w:rPr>
          <w:rFonts w:hint="eastAsia" w:ascii="仿宋" w:hAnsi="仿宋" w:eastAsia="仿宋" w:cs="仿宋"/>
        </w:rPr>
      </w:pPr>
      <w:bookmarkStart w:id="32" w:name="_Toc27650"/>
      <w:r>
        <w:rPr>
          <w:rFonts w:hint="eastAsia" w:ascii="仿宋" w:hAnsi="仿宋" w:eastAsia="仿宋" w:cs="仿宋"/>
        </w:rPr>
        <w:t>3.2.5 블록체인 레이어</w:t>
      </w:r>
      <w:bookmarkEnd w:id="32"/>
    </w:p>
    <w:p w14:paraId="25477437">
      <w:pPr>
        <w:rPr>
          <w:rFonts w:hint="eastAsia" w:ascii="仿宋" w:hAnsi="仿宋" w:eastAsia="仿宋" w:cs="仿宋"/>
        </w:rPr>
      </w:pPr>
      <w:r>
        <w:rPr>
          <w:rFonts w:hint="eastAsia" w:ascii="仿宋" w:hAnsi="仿宋" w:eastAsia="仿宋" w:cs="仿宋"/>
        </w:rPr>
        <w:t>하이퍼레저 패브릭(Hyperledger Fabric)을 기반으로 구축된 블록체인 레이어는 AI 모델 거래 시장을 위한 신뢰할 수 있는 인프라 역할을 합니다. 트랜잭션 체인코드는 모델 거래의 생성, 검증 및 확인 로직을 구현하고, 인센티브 체인코드는 기여도 계산 및 샤플리 값(Shapley value) 할당을 자동으로 수행하며, 감사 체인코드는 변경 불가능하고 완전한 거래 감사 기록을 유지합니다. 모델 파라미터 파일은 IPFS 네트워크에 저장되며, 파일 내용 해시(CID)만 블록체인 원장에 기록되어 저장 공간 효율성과 무결성 검증 요구 사항 간의 균형을 유지합니다.</w:t>
      </w:r>
    </w:p>
    <w:p w14:paraId="3F5AB00F">
      <w:pPr>
        <w:pStyle w:val="4"/>
        <w:rPr>
          <w:rFonts w:hint="eastAsia" w:ascii="仿宋" w:hAnsi="仿宋" w:eastAsia="仿宋" w:cs="仿宋"/>
        </w:rPr>
      </w:pPr>
      <w:bookmarkStart w:id="33" w:name="_Toc19080"/>
      <w:r>
        <w:rPr>
          <w:rFonts w:hint="eastAsia" w:ascii="仿宋" w:hAnsi="仿宋" w:eastAsia="仿宋" w:cs="仿宋"/>
        </w:rPr>
        <w:t>3.3 핵심 데이터 흐름 설계</w:t>
      </w:r>
      <w:bookmarkEnd w:id="33"/>
    </w:p>
    <w:p w14:paraId="44F14C1C">
      <w:pPr>
        <w:rPr>
          <w:rFonts w:hint="eastAsia" w:ascii="仿宋" w:hAnsi="仿宋" w:eastAsia="仿宋" w:cs="仿宋"/>
        </w:rPr>
      </w:pPr>
      <w:r>
        <w:rPr>
          <w:rFonts w:hint="eastAsia" w:ascii="仿宋" w:hAnsi="仿宋" w:eastAsia="仿宋" w:cs="仿宋"/>
        </w:rPr>
        <w:t>그림 3.2는 모델 등록, 검색, 거래 및 연합 학습이라는 네 가지 핵심 비즈니스 프로세스의 데이터 흐름을 시각화한 것입니다.</w:t>
      </w:r>
    </w:p>
    <w:p w14:paraId="4D991D8E">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4495" cy="3296285"/>
            <wp:effectExtent l="0" t="0" r="1905" b="5715"/>
            <wp:docPr id="14" name="图片 14" descr="translated_image_k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ranslated_image_ko (2)"/>
                    <pic:cNvPicPr>
                      <a:picLocks noChangeAspect="1"/>
                    </pic:cNvPicPr>
                  </pic:nvPicPr>
                  <pic:blipFill>
                    <a:blip r:embed="rId8"/>
                    <a:stretch>
                      <a:fillRect/>
                    </a:stretch>
                  </pic:blipFill>
                  <pic:spPr>
                    <a:xfrm>
                      <a:off x="0" y="0"/>
                      <a:ext cx="5484495" cy="3296285"/>
                    </a:xfrm>
                    <a:prstGeom prst="rect">
                      <a:avLst/>
                    </a:prstGeom>
                  </pic:spPr>
                </pic:pic>
              </a:graphicData>
            </a:graphic>
          </wp:inline>
        </w:drawing>
      </w:r>
    </w:p>
    <w:p w14:paraId="77E5AC44">
      <w:pPr>
        <w:jc w:val="center"/>
        <w:rPr>
          <w:rFonts w:hint="eastAsia" w:ascii="仿宋" w:hAnsi="仿宋" w:eastAsia="仿宋" w:cs="仿宋"/>
        </w:rPr>
      </w:pPr>
      <w:r>
        <w:rPr>
          <w:rFonts w:hint="eastAsia" w:ascii="仿宋" w:hAnsi="仿宋" w:eastAsia="仿宋" w:cs="仿宋"/>
          <w:i/>
          <w:sz w:val="18"/>
        </w:rPr>
        <w:t>그림 3.2 핵심 데이터 흐름 설계: (a) 모델 등록 프로세스 (b) 모델 검색 프로세스 (c) 모델 거래 프로세스 (d) 연합 학습 프로세스</w:t>
      </w:r>
    </w:p>
    <w:p w14:paraId="69400940">
      <w:pPr>
        <w:rPr>
          <w:rFonts w:hint="eastAsia" w:ascii="仿宋" w:hAnsi="仿宋" w:eastAsia="仿宋" w:cs="仿宋"/>
        </w:rPr>
      </w:pPr>
      <w:r>
        <w:rPr>
          <w:rFonts w:hint="eastAsia" w:ascii="仿宋" w:hAnsi="仿宋" w:eastAsia="仿宋" w:cs="仿宋"/>
        </w:rPr>
        <w:t>그림 3.2a에서 보는 바와 같이, 모델 등록 프로세스는 엣지 디바이스에서 특징을 추출하는 것으로 시작하여, 차분 프라이버시 처리(DPP)를 통해 데이터를 익명화한 후 서비스 계층으로 전송하여 등록합니다. 마지막으로 메타데이터와 무결성 증명이 블록체인에 저장됩니다. 모델 검색 프로세스(그림 3.2b)는 사용자 쿼리에 의해 시작됩니다. 서비스 계층의 매칭 엔진은 콘텐츠 유사성과 시장 평판을 결합하여 다중 요소 순위를 매기고 결과를 반환합니다. 모델 거래 프로세스(그림 3.2c)는 스마트 계약 검증을 기반으로 하며, 무결성 검증을 통과한 모델만 IPFS 전송 및 후속 정산 프로세스에 참여할 수 있도록 합니다. 연합 학습 프로세스(그림 3.2d)는 SMPC 보안 집계를 통해 데이터가 도메인을 벗어나지 않고 협업 학습을 수행합니다. 전역 모델이 업데이트되면 참여 노드에 재배포됩니다.</w:t>
      </w:r>
    </w:p>
    <w:p w14:paraId="4C6C5AEE">
      <w:pPr>
        <w:pStyle w:val="4"/>
        <w:rPr>
          <w:rFonts w:hint="eastAsia" w:ascii="仿宋" w:hAnsi="仿宋" w:eastAsia="仿宋" w:cs="仿宋"/>
        </w:rPr>
      </w:pPr>
      <w:bookmarkStart w:id="34" w:name="_Toc9954"/>
      <w:r>
        <w:rPr>
          <w:rFonts w:hint="eastAsia" w:ascii="仿宋" w:hAnsi="仿宋" w:eastAsia="仿宋" w:cs="仿宋"/>
        </w:rPr>
        <w:t>3.4 모델 표현 및 표준화</w:t>
      </w:r>
      <w:bookmarkEnd w:id="34"/>
    </w:p>
    <w:p w14:paraId="3A4B7FA6">
      <w:pPr>
        <w:rPr>
          <w:rFonts w:hint="eastAsia" w:ascii="仿宋" w:hAnsi="仿宋" w:eastAsia="仿宋" w:cs="仿宋"/>
        </w:rPr>
      </w:pPr>
      <w:r>
        <w:rPr>
          <w:rFonts w:hint="eastAsia" w:ascii="仿宋" w:hAnsi="仿宋" w:eastAsia="仿宋" w:cs="仿宋"/>
        </w:rPr>
        <w:t>이 연구는 이기종 산업 시나리오에서 모델 상호 운용성을 지원하기 위해 표준화된 AI 모델 메타데이터 스키마를 정의합니다. 이 스키마는 식별 정보(UUID, 이름, 버전 번호, 제공자 디지털 ID), 기술 사양(딥러닝 프레임워크 및 버전, 모델 아키텍처 유형, 매개변수 개수 및 모델 파일 크기, 입력 및 출력 텐서 형태 및 데이터 유형), 성능 벤치마크(다양한 표준 데이터 세트에 대한 정확도/F1/AUC 및 기타 지표, 평균 추론 지연 시간, 최대 메모리 사용량), 도메인 속성(대상 산업 도메인 및 하위 도메인, 작업 유형, 적용 가능한 운영 조건), 그리고 상업 정보(라이선스 유형, 가격 모델, 사용 제한)의 다섯 가지 정보 차원을 포괄합니다.</w:t>
      </w:r>
    </w:p>
    <w:p w14:paraId="7E633D38">
      <w:pPr>
        <w:pStyle w:val="4"/>
        <w:rPr>
          <w:rFonts w:hint="eastAsia" w:ascii="仿宋" w:hAnsi="仿宋" w:eastAsia="仿宋" w:cs="仿宋"/>
        </w:rPr>
      </w:pPr>
      <w:bookmarkStart w:id="35" w:name="_Toc18369"/>
      <w:r>
        <w:rPr>
          <w:rFonts w:hint="eastAsia" w:ascii="仿宋" w:hAnsi="仿宋" w:eastAsia="仿宋" w:cs="仿宋"/>
        </w:rPr>
        <w:t>3.5 개인정보 보호 메커니즘</w:t>
      </w:r>
      <w:bookmarkEnd w:id="35"/>
    </w:p>
    <w:p w14:paraId="1F162B51">
      <w:pPr>
        <w:rPr>
          <w:rFonts w:hint="eastAsia" w:ascii="仿宋" w:hAnsi="仿宋" w:eastAsia="仿宋" w:cs="仿宋"/>
        </w:rPr>
      </w:pPr>
      <w:r>
        <w:rPr>
          <w:rFonts w:hint="eastAsia" w:ascii="仿宋" w:hAnsi="仿宋" w:eastAsia="仿宋" w:cs="仿宋"/>
        </w:rPr>
        <w:t>제안된 아키텍처는 심층 방어 방식의 다층적 개인정보 보호 전략을 채택합니다. 학습 단계에서는 연합 학습을 통해 원본 데이터가 도메인 외부로 유출되지 않도록 보장하고, 차분 프라이버시 기술을 사용하여 모델 업데이트에 제어된 노이즈를 주입함으로써 정보 유출을 방지합니다. 거래 단계에서는 속성 기반 암호화(ABE)를 통해 모델 파일에 대한 세분화된 접근 제어를 구현합니다. 특정 속성 정책(예: 산업 분야, 보안 수준, 라이선스 유효성)을 충족하는 사용자만 모델을 복호화할 수 있습니다. 감사 단계에서는 영지식 증명(ZKP) 기술을 통해 거래 세부 정보를 노출하지 않고도 규제 기관에 거래 규정 준수를 입증할 수 있어 개인정보 보호와 규제 투명성 간의 근본적인 모순을 효과적으로 해결합니다.</w:t>
      </w:r>
    </w:p>
    <w:p w14:paraId="6A88D267">
      <w:pPr>
        <w:rPr>
          <w:rFonts w:hint="eastAsia" w:ascii="仿宋" w:hAnsi="仿宋" w:eastAsia="仿宋" w:cs="仿宋"/>
        </w:rPr>
      </w:pPr>
      <w:r>
        <w:rPr>
          <w:rFonts w:hint="eastAsia" w:ascii="仿宋" w:hAnsi="仿宋" w:eastAsia="仿宋" w:cs="仿宋"/>
        </w:rPr>
        <w:br w:type="page"/>
      </w:r>
    </w:p>
    <w:p w14:paraId="25DE597E">
      <w:pPr>
        <w:pStyle w:val="3"/>
        <w:jc w:val="center"/>
        <w:rPr>
          <w:rFonts w:hint="eastAsia" w:ascii="仿宋" w:hAnsi="仿宋" w:eastAsia="仿宋" w:cs="仿宋"/>
          <w:sz w:val="36"/>
          <w:szCs w:val="36"/>
        </w:rPr>
      </w:pPr>
      <w:bookmarkStart w:id="36" w:name="_Toc10831"/>
      <w:r>
        <w:rPr>
          <w:rFonts w:hint="eastAsia" w:ascii="仿宋" w:hAnsi="仿宋" w:eastAsia="仿宋" w:cs="仿宋"/>
          <w:sz w:val="36"/>
          <w:szCs w:val="36"/>
        </w:rPr>
        <w:t>제4장 AI 모델 거래를 위한 인센티브 메커니즘 설계</w:t>
      </w:r>
      <w:bookmarkEnd w:id="36"/>
    </w:p>
    <w:p w14:paraId="7052F094">
      <w:pPr>
        <w:pStyle w:val="4"/>
        <w:rPr>
          <w:rFonts w:hint="eastAsia" w:ascii="仿宋" w:hAnsi="仿宋" w:eastAsia="仿宋" w:cs="仿宋"/>
        </w:rPr>
      </w:pPr>
      <w:bookmarkStart w:id="37" w:name="_Toc15961"/>
      <w:r>
        <w:rPr>
          <w:rFonts w:hint="eastAsia" w:ascii="仿宋" w:hAnsi="仿宋" w:eastAsia="仿宋" w:cs="仿宋"/>
        </w:rPr>
        <w:t>4.1 문제 모델링</w:t>
      </w:r>
      <w:bookmarkEnd w:id="37"/>
    </w:p>
    <w:p w14:paraId="59DFC633">
      <w:pPr>
        <w:pStyle w:val="5"/>
        <w:rPr>
          <w:rFonts w:hint="eastAsia" w:ascii="仿宋" w:hAnsi="仿宋" w:eastAsia="仿宋" w:cs="仿宋"/>
        </w:rPr>
      </w:pPr>
      <w:bookmarkStart w:id="38" w:name="_Toc28044"/>
      <w:r>
        <w:rPr>
          <w:rFonts w:hint="eastAsia" w:ascii="仿宋" w:hAnsi="仿宋" w:eastAsia="仿宋" w:cs="仿宋"/>
        </w:rPr>
        <w:t>4.1.1 참가자 행동 분석</w:t>
      </w:r>
      <w:bookmarkEnd w:id="38"/>
    </w:p>
    <w:p w14:paraId="2BF918B7">
      <w:pPr>
        <w:rPr>
          <w:rFonts w:hint="eastAsia" w:ascii="仿宋" w:hAnsi="仿宋" w:eastAsia="仿宋" w:cs="仿宋"/>
        </w:rPr>
      </w:pPr>
      <w:r>
        <w:rPr>
          <w:rFonts w:hint="eastAsia" w:ascii="仿宋" w:hAnsi="仿宋" w:eastAsia="仿宋" w:cs="仿宋"/>
        </w:rPr>
        <w:t>AI 모델 거래 시장 참여자는 크게 모델 제공자와 모델 소비자 두 가지 범주로 나뉩니다. 모델 제공자는 자체 학습한 AI 모델을 시장에 등록하여 거래 수익을 얻고자 하며, 모델 소비자는 자사의 엣지 디바이스에 배포할 모델을 검색하고 구매하고자 합니다. 시장 운영자는 중립적인 주체로서 거래 플랫폼 운영과 인센티브 메커니즘 관리를 담당합니다.</w:t>
      </w:r>
    </w:p>
    <w:p w14:paraId="7005C5FA">
      <w:pPr>
        <w:rPr>
          <w:rFonts w:hint="eastAsia" w:ascii="仿宋" w:hAnsi="仿宋" w:eastAsia="仿宋" w:cs="仿宋"/>
        </w:rPr>
      </w:pPr>
      <w:r>
        <w:rPr>
          <w:rFonts w:hint="eastAsia" w:ascii="仿宋" w:hAnsi="仿宋" w:eastAsia="仿宋" w:cs="仿宋"/>
        </w:rPr>
        <w:t>모델 제공업체는 자사 모델의 품질에 대한 독점적인 정보를 보유하고 있지만, 시장 참여자는 이를 완전히 파악할 수 없어 정보 비대칭성이 발생합니다. 이러한 환경에서 고품질 모델 제공업체는 저품질 제공업체인 척 가장하여 이익을 얻거나(역선택), 등록 후 최적의 모델 품질을 유지할 유인이 부족해질 수 있습니다(도덕적 해이).</w:t>
      </w:r>
    </w:p>
    <w:p w14:paraId="7435CAD4">
      <w:pPr>
        <w:pStyle w:val="5"/>
        <w:rPr>
          <w:rFonts w:hint="eastAsia" w:ascii="仿宋" w:hAnsi="仿宋" w:eastAsia="仿宋" w:cs="仿宋"/>
        </w:rPr>
      </w:pPr>
      <w:bookmarkStart w:id="39" w:name="_Toc685"/>
      <w:r>
        <w:rPr>
          <w:rFonts w:hint="eastAsia" w:ascii="仿宋" w:hAnsi="仿宋" w:eastAsia="仿宋" w:cs="仿宋"/>
        </w:rPr>
        <w:t>4.1.2 주인-대리인 모델 구축</w:t>
      </w:r>
      <w:bookmarkEnd w:id="39"/>
    </w:p>
    <w:p w14:paraId="2D238A19">
      <w:pPr>
        <w:rPr>
          <w:rFonts w:hint="eastAsia" w:ascii="仿宋" w:hAnsi="仿宋" w:eastAsia="仿宋" w:cs="仿宋"/>
        </w:rPr>
      </w:pPr>
      <w:r>
        <w:rPr>
          <w:rFonts w:hint="eastAsia" w:ascii="仿宋" w:hAnsi="仿宋" w:eastAsia="仿宋" w:cs="仿宋"/>
        </w:rPr>
        <w:t>본 연구는 모델 제공자와 시장 운영자 간의 상호작용을 주-대리인 모델로 모델링합니다. 시장 운영자(주체)는 모델 제공자(대리인)의 실제 유형(고품질/저품질)을 알 수 없으므로, 제공자가 자신의 유형에 적합한 계약을 능동적으로 선택하도록 유도하는 계약 메뉴 {(q_k, p_k)}를 설계합니다(자기 선택). 여기서 q_k는 요구되는 모델 품질 수준을 나타내고, p_k는 해당 수준의 계약에 대한 보상 금액을 나타냅니다.</w:t>
      </w:r>
    </w:p>
    <w:p w14:paraId="03C2F466">
      <w:pPr>
        <w:rPr>
          <w:rFonts w:hint="eastAsia" w:ascii="仿宋" w:hAnsi="仿宋" w:eastAsia="仿宋" w:cs="仿宋"/>
        </w:rPr>
      </w:pPr>
      <w:r>
        <w:rPr>
          <w:rFonts w:hint="eastAsia" w:ascii="仿宋" w:hAnsi="仿宋" w:eastAsia="仿宋" w:cs="仿宋"/>
        </w:rPr>
        <w:t>제약 조건에는 참여 제약 조건(PC)과 유인 호환성 제약 조건(IC)이 포함됩니다. PC는 각 유형의 공급자가 계약 수락 후 보유 효용과 같거나 그 이상의 혜택을 받도록 보장하고, IC는 어떤 유형의 공급자도 자신의 유형을 허위로 표시할 유인이 없도록 보장합니다. 이 최적화 문제는 정보 공개 원리를 사용하여 2차 미분 방정식으로 단순화할 수 있습니다.</w:t>
      </w:r>
    </w:p>
    <w:p w14:paraId="4A76DB9D">
      <w:pPr>
        <w:pStyle w:val="4"/>
        <w:rPr>
          <w:rFonts w:hint="eastAsia" w:ascii="仿宋" w:hAnsi="仿宋" w:eastAsia="仿宋" w:cs="仿宋"/>
        </w:rPr>
      </w:pPr>
      <w:bookmarkStart w:id="40" w:name="_Toc27912"/>
      <w:r>
        <w:rPr>
          <w:rFonts w:hint="eastAsia" w:ascii="仿宋" w:hAnsi="仿宋" w:eastAsia="仿宋" w:cs="仿宋"/>
        </w:rPr>
        <w:t>4.2 계약 이론에 기반한 인센티브 메커니즘</w:t>
      </w:r>
      <w:bookmarkEnd w:id="40"/>
    </w:p>
    <w:p w14:paraId="2C588A5C">
      <w:pPr>
        <w:pStyle w:val="5"/>
        <w:rPr>
          <w:rFonts w:hint="eastAsia" w:ascii="仿宋" w:hAnsi="仿宋" w:eastAsia="仿宋" w:cs="仿宋"/>
        </w:rPr>
      </w:pPr>
      <w:bookmarkStart w:id="41" w:name="_Toc15090"/>
      <w:r>
        <w:rPr>
          <w:rFonts w:hint="eastAsia" w:ascii="仿宋" w:hAnsi="仿宋" w:eastAsia="仿宋" w:cs="仿宋"/>
        </w:rPr>
        <w:t>4.2.1 3단계 계약 메뉴 디자인</w:t>
      </w:r>
      <w:bookmarkEnd w:id="41"/>
    </w:p>
    <w:p w14:paraId="24256B37">
      <w:pPr>
        <w:rPr>
          <w:rFonts w:hint="eastAsia" w:ascii="仿宋" w:hAnsi="仿宋" w:eastAsia="仿宋" w:cs="仿宋"/>
        </w:rPr>
      </w:pPr>
      <w:r>
        <w:rPr>
          <w:rFonts w:hint="eastAsia" w:ascii="仿宋" w:hAnsi="仿宋" w:eastAsia="仿宋" w:cs="仿宋"/>
        </w:rPr>
        <w:t>본 연구에서 설계한 인센티브 계약은 세 가지 수준(기본, 표준, 고급)의 품질 등급으로 구성됩니다. 각 등급은 모델 정확도, 추론 지연 시간, 비독립동일분포(Non-IID) 강건성 등 다차원적 성능 지표에 대한 차별화된 참여 기준을 설정하며, 등급이 높아질수록 보상도 증가합니다. 표 4.1은 제안된 계약 메뉴의 전체 구조를 보여줍니다.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6F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F471D0C">
            <w:pPr>
              <w:rPr>
                <w:rFonts w:hint="eastAsia" w:ascii="仿宋" w:hAnsi="仿宋" w:eastAsia="仿宋" w:cs="仿宋"/>
              </w:rPr>
            </w:pPr>
            <w:r>
              <w:rPr>
                <w:rFonts w:hint="eastAsia" w:ascii="仿宋" w:hAnsi="仿宋" w:eastAsia="仿宋" w:cs="仿宋"/>
                <w:b/>
                <w:sz w:val="18"/>
              </w:rPr>
              <w:t>계약 수준</w:t>
            </w:r>
          </w:p>
        </w:tc>
        <w:tc>
          <w:tcPr>
            <w:tcW w:w="1440" w:type="dxa"/>
          </w:tcPr>
          <w:p w14:paraId="17E8D8ED">
            <w:pPr>
              <w:rPr>
                <w:rFonts w:hint="eastAsia" w:ascii="仿宋" w:hAnsi="仿宋" w:eastAsia="仿宋" w:cs="仿宋"/>
              </w:rPr>
            </w:pPr>
            <w:r>
              <w:rPr>
                <w:rFonts w:hint="eastAsia" w:ascii="仿宋" w:hAnsi="仿宋" w:eastAsia="仿宋" w:cs="仿宋"/>
                <w:b/>
                <w:sz w:val="18"/>
              </w:rPr>
              <w:t>최소 정확도</w:t>
            </w:r>
          </w:p>
        </w:tc>
        <w:tc>
          <w:tcPr>
            <w:tcW w:w="1440" w:type="dxa"/>
          </w:tcPr>
          <w:p w14:paraId="6C660200">
            <w:pPr>
              <w:rPr>
                <w:rFonts w:hint="eastAsia" w:ascii="仿宋" w:hAnsi="仿宋" w:eastAsia="仿宋" w:cs="仿宋"/>
              </w:rPr>
            </w:pPr>
            <w:r>
              <w:rPr>
                <w:rFonts w:hint="eastAsia" w:ascii="仿宋" w:hAnsi="仿宋" w:eastAsia="仿宋" w:cs="仿宋"/>
                <w:b/>
                <w:sz w:val="18"/>
              </w:rPr>
              <w:t>최대 추론 지연</w:t>
            </w:r>
          </w:p>
        </w:tc>
        <w:tc>
          <w:tcPr>
            <w:tcW w:w="1440" w:type="dxa"/>
          </w:tcPr>
          <w:p w14:paraId="570BB3D3">
            <w:pPr>
              <w:rPr>
                <w:rFonts w:hint="eastAsia" w:ascii="仿宋" w:hAnsi="仿宋" w:eastAsia="仿宋" w:cs="仿宋"/>
              </w:rPr>
            </w:pPr>
            <w:r>
              <w:rPr>
                <w:rFonts w:hint="eastAsia" w:ascii="仿宋" w:hAnsi="仿宋" w:eastAsia="仿宋" w:cs="仿宋"/>
                <w:b/>
                <w:sz w:val="18"/>
              </w:rPr>
              <w:t>비IID 강건성</w:t>
            </w:r>
          </w:p>
        </w:tc>
        <w:tc>
          <w:tcPr>
            <w:tcW w:w="1440" w:type="dxa"/>
          </w:tcPr>
          <w:p w14:paraId="7A209BBF">
            <w:pPr>
              <w:rPr>
                <w:rFonts w:hint="eastAsia" w:ascii="仿宋" w:hAnsi="仿宋" w:eastAsia="仿宋" w:cs="仿宋"/>
              </w:rPr>
            </w:pPr>
            <w:r>
              <w:rPr>
                <w:rFonts w:hint="eastAsia" w:ascii="仿宋" w:hAnsi="仿宋" w:eastAsia="仿宋" w:cs="仿宋"/>
                <w:b/>
                <w:sz w:val="18"/>
              </w:rPr>
              <w:t>기본 보상</w:t>
            </w:r>
          </w:p>
        </w:tc>
        <w:tc>
          <w:tcPr>
            <w:tcW w:w="1440" w:type="dxa"/>
          </w:tcPr>
          <w:p w14:paraId="4EFF34C0">
            <w:pPr>
              <w:rPr>
                <w:rFonts w:hint="eastAsia" w:ascii="仿宋" w:hAnsi="仿宋" w:eastAsia="仿宋" w:cs="仿宋"/>
              </w:rPr>
            </w:pPr>
            <w:r>
              <w:rPr>
                <w:rFonts w:hint="eastAsia" w:ascii="仿宋" w:hAnsi="仿宋" w:eastAsia="仿宋" w:cs="仿宋"/>
                <w:b/>
                <w:sz w:val="18"/>
              </w:rPr>
              <w:t>성과 보너스</w:t>
            </w:r>
          </w:p>
        </w:tc>
      </w:tr>
      <w:tr w14:paraId="750E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03B920D">
            <w:pPr>
              <w:rPr>
                <w:rFonts w:hint="eastAsia" w:ascii="仿宋" w:hAnsi="仿宋" w:eastAsia="仿宋" w:cs="仿宋"/>
              </w:rPr>
            </w:pPr>
            <w:r>
              <w:rPr>
                <w:rFonts w:hint="eastAsia" w:ascii="仿宋" w:hAnsi="仿宋" w:eastAsia="仿宋" w:cs="仿宋"/>
                <w:sz w:val="18"/>
              </w:rPr>
              <w:t>기초적인</w:t>
            </w:r>
          </w:p>
        </w:tc>
        <w:tc>
          <w:tcPr>
            <w:tcW w:w="1440" w:type="dxa"/>
          </w:tcPr>
          <w:p w14:paraId="51653DD9">
            <w:pPr>
              <w:rPr>
                <w:rFonts w:hint="eastAsia" w:ascii="仿宋" w:hAnsi="仿宋" w:eastAsia="仿宋" w:cs="仿宋"/>
              </w:rPr>
            </w:pPr>
            <w:r>
              <w:rPr>
                <w:rFonts w:hint="eastAsia" w:ascii="仿宋" w:hAnsi="仿宋" w:eastAsia="仿宋" w:cs="仿宋"/>
                <w:sz w:val="18"/>
              </w:rPr>
              <w:t>85% 이상</w:t>
            </w:r>
          </w:p>
        </w:tc>
        <w:tc>
          <w:tcPr>
            <w:tcW w:w="1440" w:type="dxa"/>
          </w:tcPr>
          <w:p w14:paraId="36F3C9AB">
            <w:pPr>
              <w:rPr>
                <w:rFonts w:hint="eastAsia" w:ascii="仿宋" w:hAnsi="仿宋" w:eastAsia="仿宋" w:cs="仿宋"/>
              </w:rPr>
            </w:pPr>
            <w:r>
              <w:rPr>
                <w:rFonts w:hint="eastAsia" w:ascii="仿宋" w:hAnsi="仿宋" w:eastAsia="仿宋" w:cs="仿宋"/>
                <w:sz w:val="18"/>
              </w:rPr>
              <w:t>&lt;= 50ms</w:t>
            </w:r>
          </w:p>
        </w:tc>
        <w:tc>
          <w:tcPr>
            <w:tcW w:w="1440" w:type="dxa"/>
          </w:tcPr>
          <w:p w14:paraId="0437930B">
            <w:pPr>
              <w:rPr>
                <w:rFonts w:hint="eastAsia" w:ascii="仿宋" w:hAnsi="仿宋" w:eastAsia="仿宋" w:cs="仿宋"/>
              </w:rPr>
            </w:pPr>
            <w:r>
              <w:rPr>
                <w:rFonts w:hint="eastAsia" w:ascii="仿宋" w:hAnsi="仿宋" w:eastAsia="仿宋" w:cs="仿宋"/>
                <w:sz w:val="18"/>
              </w:rPr>
              <w:t>±5% 이내</w:t>
            </w:r>
          </w:p>
        </w:tc>
        <w:tc>
          <w:tcPr>
            <w:tcW w:w="1440" w:type="dxa"/>
          </w:tcPr>
          <w:p w14:paraId="69BABE92">
            <w:pPr>
              <w:rPr>
                <w:rFonts w:hint="eastAsia" w:ascii="仿宋" w:hAnsi="仿宋" w:eastAsia="仿宋" w:cs="仿宋"/>
              </w:rPr>
            </w:pPr>
            <w:r>
              <w:rPr>
                <w:rFonts w:hint="eastAsia" w:ascii="仿宋" w:hAnsi="仿宋" w:eastAsia="仿宋" w:cs="仿宋"/>
                <w:sz w:val="18"/>
              </w:rPr>
              <w:t>100 토큰</w:t>
            </w:r>
          </w:p>
        </w:tc>
        <w:tc>
          <w:tcPr>
            <w:tcW w:w="1440" w:type="dxa"/>
          </w:tcPr>
          <w:p w14:paraId="41379A79">
            <w:pPr>
              <w:rPr>
                <w:rFonts w:hint="eastAsia" w:ascii="仿宋" w:hAnsi="仿宋" w:eastAsia="仿宋" w:cs="仿宋"/>
              </w:rPr>
            </w:pPr>
            <w:r>
              <w:rPr>
                <w:rFonts w:hint="eastAsia" w:ascii="仿宋" w:hAnsi="仿宋" w:eastAsia="仿宋" w:cs="仿宋"/>
                <w:sz w:val="18"/>
              </w:rPr>
              <w:t>정확도가 1% 증가할 때마다 p값은 +5가 됩니다.</w:t>
            </w:r>
          </w:p>
        </w:tc>
      </w:tr>
      <w:tr w14:paraId="506D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E65AEF8">
            <w:pPr>
              <w:rPr>
                <w:rFonts w:hint="eastAsia" w:ascii="仿宋" w:hAnsi="仿宋" w:eastAsia="仿宋" w:cs="仿宋"/>
              </w:rPr>
            </w:pPr>
            <w:r>
              <w:rPr>
                <w:rFonts w:hint="eastAsia" w:ascii="仿宋" w:hAnsi="仿宋" w:eastAsia="仿宋" w:cs="仿宋"/>
                <w:sz w:val="18"/>
              </w:rPr>
              <w:t>기준</w:t>
            </w:r>
          </w:p>
        </w:tc>
        <w:tc>
          <w:tcPr>
            <w:tcW w:w="1440" w:type="dxa"/>
          </w:tcPr>
          <w:p w14:paraId="4DE144BF">
            <w:pPr>
              <w:rPr>
                <w:rFonts w:hint="eastAsia" w:ascii="仿宋" w:hAnsi="仿宋" w:eastAsia="仿宋" w:cs="仿宋"/>
              </w:rPr>
            </w:pPr>
            <w:r>
              <w:rPr>
                <w:rFonts w:hint="eastAsia" w:ascii="仿宋" w:hAnsi="仿宋" w:eastAsia="仿宋" w:cs="仿宋"/>
                <w:sz w:val="18"/>
              </w:rPr>
              <w:t>90% 이상</w:t>
            </w:r>
          </w:p>
        </w:tc>
        <w:tc>
          <w:tcPr>
            <w:tcW w:w="1440" w:type="dxa"/>
          </w:tcPr>
          <w:p w14:paraId="5CF527E3">
            <w:pPr>
              <w:rPr>
                <w:rFonts w:hint="eastAsia" w:ascii="仿宋" w:hAnsi="仿宋" w:eastAsia="仿宋" w:cs="仿宋"/>
              </w:rPr>
            </w:pPr>
            <w:r>
              <w:rPr>
                <w:rFonts w:hint="eastAsia" w:ascii="仿宋" w:hAnsi="仿宋" w:eastAsia="仿宋" w:cs="仿宋"/>
                <w:sz w:val="18"/>
              </w:rPr>
              <w:t>&lt;= 30ms</w:t>
            </w:r>
          </w:p>
        </w:tc>
        <w:tc>
          <w:tcPr>
            <w:tcW w:w="1440" w:type="dxa"/>
          </w:tcPr>
          <w:p w14:paraId="4DC2090F">
            <w:pPr>
              <w:rPr>
                <w:rFonts w:hint="eastAsia" w:ascii="仿宋" w:hAnsi="仿宋" w:eastAsia="仿宋" w:cs="仿宋"/>
              </w:rPr>
            </w:pPr>
            <w:r>
              <w:rPr>
                <w:rFonts w:hint="eastAsia" w:ascii="仿宋" w:hAnsi="仿宋" w:eastAsia="仿宋" w:cs="仿宋"/>
                <w:sz w:val="18"/>
              </w:rPr>
              <w:t>±3% 이내</w:t>
            </w:r>
          </w:p>
        </w:tc>
        <w:tc>
          <w:tcPr>
            <w:tcW w:w="1440" w:type="dxa"/>
          </w:tcPr>
          <w:p w14:paraId="30DACCC7">
            <w:pPr>
              <w:rPr>
                <w:rFonts w:hint="eastAsia" w:ascii="仿宋" w:hAnsi="仿宋" w:eastAsia="仿宋" w:cs="仿宋"/>
              </w:rPr>
            </w:pPr>
            <w:r>
              <w:rPr>
                <w:rFonts w:hint="eastAsia" w:ascii="仿宋" w:hAnsi="仿宋" w:eastAsia="仿宋" w:cs="仿宋"/>
                <w:sz w:val="18"/>
              </w:rPr>
              <w:t>250 토큰</w:t>
            </w:r>
          </w:p>
        </w:tc>
        <w:tc>
          <w:tcPr>
            <w:tcW w:w="1440" w:type="dxa"/>
          </w:tcPr>
          <w:p w14:paraId="61E2A086">
            <w:pPr>
              <w:rPr>
                <w:rFonts w:hint="eastAsia" w:ascii="仿宋" w:hAnsi="仿宋" w:eastAsia="仿宋" w:cs="仿宋"/>
              </w:rPr>
            </w:pPr>
            <w:r>
              <w:rPr>
                <w:rFonts w:hint="eastAsia" w:ascii="仿宋" w:hAnsi="仿宋" w:eastAsia="仿宋" w:cs="仿宋"/>
                <w:sz w:val="18"/>
              </w:rPr>
              <w:t>정확도가 1% 증가할 때마다 p값은 +10이 됩니다.</w:t>
            </w:r>
          </w:p>
        </w:tc>
      </w:tr>
      <w:tr w14:paraId="62C4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A3D9A87">
            <w:pPr>
              <w:rPr>
                <w:rFonts w:hint="eastAsia" w:ascii="仿宋" w:hAnsi="仿宋" w:eastAsia="仿宋" w:cs="仿宋"/>
              </w:rPr>
            </w:pPr>
            <w:r>
              <w:rPr>
                <w:rFonts w:hint="eastAsia" w:ascii="仿宋" w:hAnsi="仿宋" w:eastAsia="仿宋" w:cs="仿宋"/>
                <w:sz w:val="18"/>
              </w:rPr>
              <w:t>프리미엄</w:t>
            </w:r>
          </w:p>
        </w:tc>
        <w:tc>
          <w:tcPr>
            <w:tcW w:w="1440" w:type="dxa"/>
          </w:tcPr>
          <w:p w14:paraId="58FFC0E4">
            <w:pPr>
              <w:rPr>
                <w:rFonts w:hint="eastAsia" w:ascii="仿宋" w:hAnsi="仿宋" w:eastAsia="仿宋" w:cs="仿宋"/>
              </w:rPr>
            </w:pPr>
            <w:r>
              <w:rPr>
                <w:rFonts w:hint="eastAsia" w:ascii="仿宋" w:hAnsi="仿宋" w:eastAsia="仿宋" w:cs="仿宋"/>
                <w:sz w:val="18"/>
              </w:rPr>
              <w:t>95% 이상</w:t>
            </w:r>
          </w:p>
        </w:tc>
        <w:tc>
          <w:tcPr>
            <w:tcW w:w="1440" w:type="dxa"/>
          </w:tcPr>
          <w:p w14:paraId="6E622DC7">
            <w:pPr>
              <w:rPr>
                <w:rFonts w:hint="eastAsia" w:ascii="仿宋" w:hAnsi="仿宋" w:eastAsia="仿宋" w:cs="仿宋"/>
              </w:rPr>
            </w:pPr>
            <w:r>
              <w:rPr>
                <w:rFonts w:hint="eastAsia" w:ascii="仿宋" w:hAnsi="仿宋" w:eastAsia="仿宋" w:cs="仿宋"/>
                <w:sz w:val="18"/>
              </w:rPr>
              <w:t>&lt;= 15ms</w:t>
            </w:r>
          </w:p>
        </w:tc>
        <w:tc>
          <w:tcPr>
            <w:tcW w:w="1440" w:type="dxa"/>
          </w:tcPr>
          <w:p w14:paraId="03AE8E31">
            <w:pPr>
              <w:rPr>
                <w:rFonts w:hint="eastAsia" w:ascii="仿宋" w:hAnsi="仿宋" w:eastAsia="仿宋" w:cs="仿宋"/>
              </w:rPr>
            </w:pPr>
            <w:r>
              <w:rPr>
                <w:rFonts w:hint="eastAsia" w:ascii="仿宋" w:hAnsi="仿宋" w:eastAsia="仿宋" w:cs="仿宋"/>
                <w:sz w:val="18"/>
              </w:rPr>
              <w:t>±1% 이내</w:t>
            </w:r>
          </w:p>
        </w:tc>
        <w:tc>
          <w:tcPr>
            <w:tcW w:w="1440" w:type="dxa"/>
          </w:tcPr>
          <w:p w14:paraId="4A126B9A">
            <w:pPr>
              <w:rPr>
                <w:rFonts w:hint="eastAsia" w:ascii="仿宋" w:hAnsi="仿宋" w:eastAsia="仿宋" w:cs="仿宋"/>
              </w:rPr>
            </w:pPr>
            <w:r>
              <w:rPr>
                <w:rFonts w:hint="eastAsia" w:ascii="仿宋" w:hAnsi="仿宋" w:eastAsia="仿宋" w:cs="仿宋"/>
                <w:sz w:val="18"/>
              </w:rPr>
              <w:t>500 토큰</w:t>
            </w:r>
          </w:p>
        </w:tc>
        <w:tc>
          <w:tcPr>
            <w:tcW w:w="1440" w:type="dxa"/>
          </w:tcPr>
          <w:p w14:paraId="0D42E9A6">
            <w:pPr>
              <w:rPr>
                <w:rFonts w:hint="eastAsia" w:ascii="仿宋" w:hAnsi="仿宋" w:eastAsia="仿宋" w:cs="仿宋"/>
              </w:rPr>
            </w:pPr>
            <w:r>
              <w:rPr>
                <w:rFonts w:hint="eastAsia" w:ascii="仿宋" w:hAnsi="仿宋" w:eastAsia="仿宋" w:cs="仿宋"/>
                <w:sz w:val="18"/>
              </w:rPr>
              <w:t>정확도가 1% 증가할 때마다 p값은 +20이 됩니다.</w:t>
            </w:r>
          </w:p>
        </w:tc>
      </w:tr>
    </w:tbl>
    <w:p w14:paraId="7AAA9451">
      <w:pPr>
        <w:rPr>
          <w:rFonts w:hint="eastAsia" w:ascii="仿宋" w:hAnsi="仿宋" w:eastAsia="仿宋" w:cs="仿宋"/>
        </w:rPr>
      </w:pPr>
    </w:p>
    <w:p w14:paraId="260F384A">
      <w:pPr>
        <w:rPr>
          <w:rFonts w:hint="eastAsia" w:ascii="仿宋" w:hAnsi="仿宋" w:eastAsia="仿宋" w:cs="仿宋"/>
        </w:rPr>
      </w:pPr>
      <w:r>
        <w:rPr>
          <w:rFonts w:hint="eastAsia" w:ascii="仿宋" w:hAnsi="仿宋" w:eastAsia="仿宋" w:cs="仿宋"/>
        </w:rPr>
        <w:t>표 4.1 레벨 3 품질 계약 메뉴</w:t>
      </w:r>
    </w:p>
    <w:p w14:paraId="00DFD3D6">
      <w:pPr>
        <w:pStyle w:val="5"/>
        <w:rPr>
          <w:rFonts w:hint="eastAsia" w:ascii="仿宋" w:hAnsi="仿宋" w:eastAsia="仿宋" w:cs="仿宋"/>
        </w:rPr>
      </w:pPr>
      <w:bookmarkStart w:id="42" w:name="_Toc19382"/>
      <w:r>
        <w:rPr>
          <w:rFonts w:hint="eastAsia" w:ascii="仿宋" w:hAnsi="仿宋" w:eastAsia="仿宋" w:cs="仿宋"/>
        </w:rPr>
        <w:t>4.2.2 최적 계약 찾기</w:t>
      </w:r>
      <w:bookmarkEnd w:id="42"/>
    </w:p>
    <w:p w14:paraId="1C591E4F">
      <w:pPr>
        <w:rPr>
          <w:rFonts w:hint="eastAsia" w:ascii="仿宋" w:hAnsi="仿宋" w:eastAsia="仿宋" w:cs="仿宋"/>
        </w:rPr>
      </w:pPr>
      <w:r>
        <w:rPr>
          <w:rFonts w:hint="eastAsia" w:ascii="仿宋" w:hAnsi="仿宋" w:eastAsia="仿宋" w:cs="仿宋"/>
        </w:rPr>
        <w:t>최적 계약에 대한 해법은 PC 및 IC 제약 조건 하에서 시장 운영자의 기대 효용을 극대화하는 최적화 문제로 공식화될 수 있다. 수치 분석 결과는 정보 비대칭 조건에서 고품질 제공자의 경우 완전한 정보의 최상급 수준을 유지하는 품질 요구 사항을 유지해야 하는 반면, 저품질 제공자의 경우 정보 임대료를 압축하기 위해 차선급 수준의 품질 기준을 채택해야 함을 보여준다. 이 결과는 고전 계약 이론에서 최상위에는 왜곡이 없다는 통찰을 이론적으로 확인시켜 준다[17].</w:t>
      </w:r>
    </w:p>
    <w:p w14:paraId="3677A920">
      <w:pPr>
        <w:pStyle w:val="4"/>
        <w:rPr>
          <w:rFonts w:hint="eastAsia" w:ascii="仿宋" w:hAnsi="仿宋" w:eastAsia="仿宋" w:cs="仿宋"/>
        </w:rPr>
      </w:pPr>
      <w:bookmarkStart w:id="43" w:name="_Toc1426"/>
      <w:r>
        <w:rPr>
          <w:rFonts w:hint="eastAsia" w:ascii="仿宋" w:hAnsi="仿宋" w:eastAsia="仿宋" w:cs="仿宋"/>
        </w:rPr>
        <w:t>4.3 기여도 평가 메커니즘</w:t>
      </w:r>
      <w:bookmarkEnd w:id="43"/>
    </w:p>
    <w:p w14:paraId="42CA7682">
      <w:pPr>
        <w:pStyle w:val="5"/>
        <w:rPr>
          <w:rFonts w:hint="eastAsia" w:ascii="仿宋" w:hAnsi="仿宋" w:eastAsia="仿宋" w:cs="仿宋"/>
        </w:rPr>
      </w:pPr>
      <w:bookmarkStart w:id="44" w:name="_Toc16506"/>
      <w:r>
        <w:rPr>
          <w:rFonts w:hint="eastAsia" w:ascii="仿宋" w:hAnsi="仿宋" w:eastAsia="仿宋" w:cs="仿宋"/>
        </w:rPr>
        <w:t>4.3.1 4차원 종합 기여 모델</w:t>
      </w:r>
      <w:bookmarkEnd w:id="44"/>
    </w:p>
    <w:p w14:paraId="7E6511E8">
      <w:pPr>
        <w:rPr>
          <w:rFonts w:hint="eastAsia" w:ascii="仿宋" w:hAnsi="仿宋" w:eastAsia="仿宋" w:cs="仿宋"/>
        </w:rPr>
      </w:pPr>
      <w:r>
        <w:rPr>
          <w:rFonts w:hint="eastAsia" w:ascii="仿宋" w:hAnsi="仿宋" w:eastAsia="仿宋" w:cs="仿宋"/>
        </w:rPr>
        <w:t>공정한 보상을 달성하기 위해서는 시장 참여자들의 기여도를 다각적인 관점에서 평가할 수 있는 시스템을 구축해야 합니다. 본 연구에서는 다음과 같은 네 가지 기여도 차원을 정의하고, 가중 합산을 통해 복합 기여도 점수(CCS)를 계산합니다.</w:t>
      </w:r>
    </w:p>
    <w:p w14:paraId="532EF918">
      <w:pPr>
        <w:rPr>
          <w:rFonts w:hint="eastAsia" w:ascii="仿宋" w:hAnsi="仿宋" w:eastAsia="仿宋" w:cs="仿宋"/>
        </w:rPr>
      </w:pPr>
      <w:r>
        <w:rPr>
          <w:rFonts w:hint="eastAsia" w:ascii="仿宋" w:hAnsi="仿宋" w:eastAsia="仿宋" w:cs="仿宋"/>
        </w:rPr>
        <w:t>(1) 모델 품질 기여도(C_q): 등록된 모델의 벤치마크 데이터셋에 대한 성능 지표(정확도, F1-점수, AUC-ROC 등)로, 모델의 내재적 기술적 가치를 반영합니다.</w:t>
      </w:r>
    </w:p>
    <w:p w14:paraId="6CBA9509">
      <w:pPr>
        <w:rPr>
          <w:rFonts w:hint="eastAsia" w:ascii="仿宋" w:hAnsi="仿宋" w:eastAsia="仿宋" w:cs="仿宋"/>
        </w:rPr>
      </w:pPr>
      <w:r>
        <w:rPr>
          <w:rFonts w:hint="eastAsia" w:ascii="仿宋" w:hAnsi="仿宋" w:eastAsia="仿宋" w:cs="仿宋"/>
        </w:rPr>
        <w:t>(2) 데이터 기여도(C_d): 연합 학습에서 제공되는 로컬 데이터의 품질과 규모로, 데이터 다양성(정보 엔트로피 기반 측정)과 데이터 볼륨의 조합으로 측정됩니다.</w:t>
      </w:r>
    </w:p>
    <w:p w14:paraId="4FA9BD6A">
      <w:pPr>
        <w:rPr>
          <w:rFonts w:hint="eastAsia" w:ascii="仿宋" w:hAnsi="仿宋" w:eastAsia="仿宋" w:cs="仿宋"/>
        </w:rPr>
      </w:pPr>
      <w:r>
        <w:rPr>
          <w:rFonts w:hint="eastAsia" w:ascii="仿宋" w:hAnsi="仿宋" w:eastAsia="仿宋" w:cs="仿宋"/>
        </w:rPr>
        <w:t>(3) 컴퓨팅 자원 기여도(C_c): GPU 시간, 학습 라운드, 통신 대역폭 사용량 등의 요소를 고려하여 모델 학습에 투자된 컴퓨팅 파워.</w:t>
      </w:r>
    </w:p>
    <w:p w14:paraId="1E9C22D8">
      <w:pPr>
        <w:rPr>
          <w:rFonts w:hint="eastAsia" w:ascii="仿宋" w:hAnsi="仿宋" w:eastAsia="仿宋" w:cs="仿宋"/>
        </w:rPr>
      </w:pPr>
      <w:r>
        <w:rPr>
          <w:rFonts w:hint="eastAsia" w:ascii="仿宋" w:hAnsi="仿宋" w:eastAsia="仿宋" w:cs="仿宋"/>
        </w:rPr>
        <w:t>(4) 평판 기여도(C_r): 과거 거래에서의 성과 무결성 누적 점수, 모델 소비자 만족도 점수, 시장 참여의 지속성 및 안정성.</w:t>
      </w:r>
    </w:p>
    <w:p w14:paraId="7D0C49B9">
      <w:pPr>
        <w:rPr>
          <w:rFonts w:hint="eastAsia" w:ascii="仿宋" w:hAnsi="仿宋" w:eastAsia="仿宋" w:cs="仿宋"/>
        </w:rPr>
      </w:pPr>
      <w:r>
        <w:rPr>
          <w:rFonts w:hint="eastAsia" w:ascii="仿宋" w:hAnsi="仿宋" w:eastAsia="仿宋" w:cs="仿宋"/>
        </w:rPr>
        <w:t>종합 기여도 점수 계산 공식은 CCS_i = alpha_q * C_q + alpha_d * C_d + alpha_c * C_c + alpha_r * C_r이며, 가중치 alpha는 시장 개발 단계에 따라 동적으로 조정될 수 있습니다(기본값: alpha_q=0.40, alpha_d=0.25, alpha_c=0.20, alpha_r=0.15). 시장 초기 단계에서는 폭넓은 참여를 유도하기 위해 alpha_c와 alpha_r 값을 적절히 높이고, 성숙 단계에서는 질적 경쟁을 유도하기 위해 alpha_q의 가중치를 높일 수 있습니다.</w:t>
      </w:r>
    </w:p>
    <w:p w14:paraId="6CE65189">
      <w:pPr>
        <w:pStyle w:val="4"/>
        <w:rPr>
          <w:rFonts w:hint="eastAsia" w:ascii="仿宋" w:hAnsi="仿宋" w:eastAsia="仿宋" w:cs="仿宋"/>
        </w:rPr>
      </w:pPr>
      <w:bookmarkStart w:id="45" w:name="_Toc3963"/>
      <w:r>
        <w:rPr>
          <w:rFonts w:hint="eastAsia" w:ascii="仿宋" w:hAnsi="仿宋" w:eastAsia="仿宋" w:cs="仿宋"/>
        </w:rPr>
        <w:t>4.4 샤플리 값에 기반한 공정한 배분</w:t>
      </w:r>
      <w:bookmarkEnd w:id="45"/>
    </w:p>
    <w:p w14:paraId="2C310863">
      <w:pPr>
        <w:rPr>
          <w:rFonts w:hint="eastAsia" w:ascii="仿宋" w:hAnsi="仿宋" w:eastAsia="仿宋" w:cs="仿宋"/>
        </w:rPr>
      </w:pPr>
      <w:r>
        <w:rPr>
          <w:rFonts w:hint="eastAsia" w:ascii="仿宋" w:hAnsi="仿宋" w:eastAsia="仿宋" w:cs="仿宋"/>
        </w:rPr>
        <w:t>본 연구에서는 샤플리 값을 이용하여 연합 학습 환경에서 각 참여 노드가 모델 품질 향상에 기여하는 정도를 평가합니다. 총 보상 풀 R_total이 주어졌을 때, 노드 i가 얻는 보상 R_i는 다음 공식에 따라 결정됩니다.</w:t>
      </w:r>
    </w:p>
    <w:p w14:paraId="761C76C2">
      <w:pPr>
        <w:rPr>
          <w:rFonts w:hint="eastAsia" w:ascii="仿宋" w:hAnsi="仿宋" w:eastAsia="仿宋" w:cs="仿宋"/>
        </w:rPr>
      </w:pPr>
      <w:r>
        <w:rPr>
          <w:rFonts w:hint="eastAsia" w:ascii="仿宋" w:hAnsi="仿宋" w:eastAsia="仿宋" w:cs="仿宋"/>
        </w:rPr>
        <w:t>R_i = R_total * (phi_i / sum_{j in N} phi_j)</w:t>
      </w:r>
    </w:p>
    <w:p w14:paraId="787C367D">
      <w:pPr>
        <w:rPr>
          <w:rFonts w:hint="eastAsia" w:ascii="仿宋" w:hAnsi="仿宋" w:eastAsia="仿宋" w:cs="仿宋"/>
        </w:rPr>
      </w:pPr>
      <w:r>
        <w:rPr>
          <w:rFonts w:hint="eastAsia" w:ascii="仿宋" w:hAnsi="仿宋" w:eastAsia="仿宋" w:cs="仿宋"/>
        </w:rPr>
        <w:t>여기서 phi_i는 노드 i의 Shapley 값으로, 모든 가능한 연합 참여 순서에 따라 노드 i가 연합에 참여함으로써 발생하는 모델 성능(정확도) 증가의 평균으로 정의됩니다. 이 할당 방식은 효율성, 대칭성, 가상성 및 가산성의 네 가지 공리를 만족하며, 논쟁의 여지가 없는 공정성을 갖습니다[22].</w:t>
      </w:r>
    </w:p>
    <w:p w14:paraId="45363C1F">
      <w:pPr>
        <w:rPr>
          <w:rFonts w:hint="eastAsia" w:ascii="仿宋" w:hAnsi="仿宋" w:eastAsia="仿宋" w:cs="仿宋"/>
        </w:rPr>
      </w:pPr>
      <w:r>
        <w:rPr>
          <w:rFonts w:hint="eastAsia" w:ascii="仿宋" w:hAnsi="仿宋" w:eastAsia="仿宋" w:cs="仿宋"/>
        </w:rPr>
        <w:t>정확한 Shapley 값의 계산 복잡도가 O(2^n)이므로 n=100 규모에서는 실현 불가능하기 때문에 본 연구에서는 TMC-Shapley(Truncated Monte Carlo Shapley) 근사 알고리즘[21]을 채택했습니다. 이 알고리즘은 무작위 샘플링을 통해 몬테카를로 근사를 수행합니다. 이론적 분석에 따르면 n=100, 반복 횟수 m=5,000 조건에서 평균 절대 근사 오차가 0.5% 미만으로 실제 응용 분야의 요구 사항을 충분히 충족합니다.</w:t>
      </w:r>
    </w:p>
    <w:p w14:paraId="170BED52">
      <w:pPr>
        <w:rPr>
          <w:rFonts w:hint="eastAsia" w:ascii="仿宋" w:hAnsi="仿宋" w:eastAsia="仿宋" w:cs="仿宋"/>
        </w:rPr>
      </w:pPr>
      <w:r>
        <w:rPr>
          <w:rFonts w:hint="eastAsia" w:ascii="仿宋" w:hAnsi="仿宋" w:eastAsia="仿宋" w:cs="仿宋"/>
        </w:rPr>
        <w:br w:type="page"/>
      </w:r>
    </w:p>
    <w:p w14:paraId="6AA96C1A">
      <w:pPr>
        <w:pStyle w:val="3"/>
        <w:jc w:val="center"/>
        <w:rPr>
          <w:rFonts w:hint="eastAsia" w:ascii="仿宋" w:hAnsi="仿宋" w:eastAsia="仿宋" w:cs="仿宋"/>
          <w:sz w:val="36"/>
          <w:szCs w:val="36"/>
        </w:rPr>
      </w:pPr>
      <w:bookmarkStart w:id="46" w:name="_Toc14266"/>
      <w:r>
        <w:rPr>
          <w:rFonts w:hint="eastAsia" w:ascii="仿宋" w:hAnsi="仿宋" w:eastAsia="仿宋" w:cs="仿宋"/>
          <w:sz w:val="36"/>
          <w:szCs w:val="36"/>
        </w:rPr>
        <w:t>제5장 실험 및 결과 분석</w:t>
      </w:r>
      <w:bookmarkEnd w:id="46"/>
    </w:p>
    <w:p w14:paraId="3505499A">
      <w:pPr>
        <w:pStyle w:val="4"/>
        <w:rPr>
          <w:rFonts w:hint="eastAsia" w:ascii="仿宋" w:hAnsi="仿宋" w:eastAsia="仿宋" w:cs="仿宋"/>
        </w:rPr>
      </w:pPr>
      <w:bookmarkStart w:id="47" w:name="_Toc490"/>
      <w:r>
        <w:rPr>
          <w:rFonts w:hint="eastAsia" w:ascii="仿宋" w:hAnsi="仿宋" w:eastAsia="仿宋" w:cs="仿宋"/>
        </w:rPr>
        <w:t>5.1 실험 환경 구성</w:t>
      </w:r>
      <w:bookmarkEnd w:id="47"/>
    </w:p>
    <w:p w14:paraId="0664C2D3">
      <w:pPr>
        <w:pStyle w:val="5"/>
        <w:rPr>
          <w:rFonts w:hint="eastAsia" w:ascii="仿宋" w:hAnsi="仿宋" w:eastAsia="仿宋" w:cs="仿宋"/>
        </w:rPr>
      </w:pPr>
      <w:bookmarkStart w:id="48" w:name="_Toc4738"/>
      <w:r>
        <w:rPr>
          <w:rFonts w:hint="eastAsia" w:ascii="仿宋" w:hAnsi="仿宋" w:eastAsia="仿宋" w:cs="仿宋"/>
        </w:rPr>
        <w:t>5.1.1 하드웨어 및 소프트웨어 환경</w:t>
      </w:r>
      <w:bookmarkEnd w:id="48"/>
    </w:p>
    <w:p w14:paraId="68632FEA">
      <w:pPr>
        <w:rPr>
          <w:rFonts w:hint="eastAsia" w:ascii="仿宋" w:hAnsi="仿宋" w:eastAsia="仿宋" w:cs="仿宋"/>
        </w:rPr>
      </w:pPr>
      <w:r>
        <w:rPr>
          <w:rFonts w:hint="eastAsia" w:ascii="仿宋" w:hAnsi="仿宋" w:eastAsia="仿宋" w:cs="仿宋"/>
        </w:rPr>
        <w:t>본 연구의 모든 실험은 결과의 재현성을 확보하기 위해 다음과 같은 균일한 환경에서 수행되었습니다.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B0E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E29B7D">
            <w:pPr>
              <w:rPr>
                <w:rFonts w:hint="eastAsia" w:ascii="仿宋" w:hAnsi="仿宋" w:eastAsia="仿宋" w:cs="仿宋"/>
              </w:rPr>
            </w:pPr>
            <w:r>
              <w:rPr>
                <w:rFonts w:hint="eastAsia" w:ascii="仿宋" w:hAnsi="仿宋" w:eastAsia="仿宋" w:cs="仿宋"/>
                <w:b/>
                <w:sz w:val="18"/>
              </w:rPr>
              <w:t>범주</w:t>
            </w:r>
          </w:p>
        </w:tc>
        <w:tc>
          <w:tcPr>
            <w:tcW w:w="4320" w:type="dxa"/>
          </w:tcPr>
          <w:p w14:paraId="782AC303">
            <w:pPr>
              <w:rPr>
                <w:rFonts w:hint="eastAsia" w:ascii="仿宋" w:hAnsi="仿宋" w:eastAsia="仿宋" w:cs="仿宋"/>
              </w:rPr>
            </w:pPr>
            <w:r>
              <w:rPr>
                <w:rFonts w:hint="eastAsia" w:ascii="仿宋" w:hAnsi="仿宋" w:eastAsia="仿宋" w:cs="仿宋"/>
                <w:b/>
                <w:sz w:val="18"/>
              </w:rPr>
              <w:t>구성</w:t>
            </w:r>
          </w:p>
        </w:tc>
      </w:tr>
      <w:tr w14:paraId="3BDE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A1AC00">
            <w:pPr>
              <w:rPr>
                <w:rFonts w:hint="eastAsia" w:ascii="仿宋" w:hAnsi="仿宋" w:eastAsia="仿宋" w:cs="仿宋"/>
              </w:rPr>
            </w:pPr>
            <w:r>
              <w:rPr>
                <w:rFonts w:hint="eastAsia" w:ascii="仿宋" w:hAnsi="仿宋" w:eastAsia="仿宋" w:cs="仿宋"/>
                <w:sz w:val="18"/>
              </w:rPr>
              <w:t>CPU</w:t>
            </w:r>
          </w:p>
        </w:tc>
        <w:tc>
          <w:tcPr>
            <w:tcW w:w="4320" w:type="dxa"/>
          </w:tcPr>
          <w:p w14:paraId="174281D6">
            <w:pPr>
              <w:rPr>
                <w:rFonts w:hint="eastAsia" w:ascii="仿宋" w:hAnsi="仿宋" w:eastAsia="仿宋" w:cs="仿宋"/>
              </w:rPr>
            </w:pPr>
            <w:r>
              <w:rPr>
                <w:rFonts w:hint="eastAsia" w:ascii="仿宋" w:hAnsi="仿宋" w:eastAsia="仿宋" w:cs="仿宋"/>
                <w:sz w:val="18"/>
              </w:rPr>
              <w:t>인텔 코어 i9-13900K (24코어, 32스레드)</w:t>
            </w:r>
          </w:p>
        </w:tc>
      </w:tr>
      <w:tr w14:paraId="1650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561387">
            <w:pPr>
              <w:rPr>
                <w:rFonts w:hint="eastAsia" w:ascii="仿宋" w:hAnsi="仿宋" w:eastAsia="仿宋" w:cs="仿宋"/>
              </w:rPr>
            </w:pPr>
            <w:r>
              <w:rPr>
                <w:rFonts w:hint="eastAsia" w:ascii="仿宋" w:hAnsi="仿宋" w:eastAsia="仿宋" w:cs="仿宋"/>
                <w:sz w:val="18"/>
              </w:rPr>
              <w:t>GPU</w:t>
            </w:r>
          </w:p>
        </w:tc>
        <w:tc>
          <w:tcPr>
            <w:tcW w:w="4320" w:type="dxa"/>
          </w:tcPr>
          <w:p w14:paraId="0D7E011A">
            <w:pPr>
              <w:rPr>
                <w:rFonts w:hint="eastAsia" w:ascii="仿宋" w:hAnsi="仿宋" w:eastAsia="仿宋" w:cs="仿宋"/>
              </w:rPr>
            </w:pPr>
            <w:r>
              <w:rPr>
                <w:rFonts w:hint="eastAsia" w:ascii="仿宋" w:hAnsi="仿宋" w:eastAsia="仿宋" w:cs="仿宋"/>
                <w:sz w:val="18"/>
              </w:rPr>
              <w:t>NVIDIA RTX 4090 2개 (각 24GB VRAM)</w:t>
            </w:r>
          </w:p>
        </w:tc>
      </w:tr>
      <w:tr w14:paraId="004D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9A8350">
            <w:pPr>
              <w:rPr>
                <w:rFonts w:hint="eastAsia" w:ascii="仿宋" w:hAnsi="仿宋" w:eastAsia="仿宋" w:cs="仿宋"/>
              </w:rPr>
            </w:pPr>
            <w:r>
              <w:rPr>
                <w:rFonts w:hint="eastAsia" w:ascii="仿宋" w:hAnsi="仿宋" w:eastAsia="仿宋" w:cs="仿宋"/>
                <w:sz w:val="18"/>
              </w:rPr>
              <w:t>메모리</w:t>
            </w:r>
          </w:p>
        </w:tc>
        <w:tc>
          <w:tcPr>
            <w:tcW w:w="4320" w:type="dxa"/>
          </w:tcPr>
          <w:p w14:paraId="7EF8E315">
            <w:pPr>
              <w:rPr>
                <w:rFonts w:hint="eastAsia" w:ascii="仿宋" w:hAnsi="仿宋" w:eastAsia="仿宋" w:cs="仿宋"/>
              </w:rPr>
            </w:pPr>
            <w:r>
              <w:rPr>
                <w:rFonts w:hint="eastAsia" w:ascii="仿宋" w:hAnsi="仿宋" w:eastAsia="仿宋" w:cs="仿宋"/>
                <w:sz w:val="18"/>
              </w:rPr>
              <w:t>64GB DDR5-5600</w:t>
            </w:r>
          </w:p>
        </w:tc>
      </w:tr>
      <w:tr w14:paraId="2D0B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BA972D">
            <w:pPr>
              <w:rPr>
                <w:rFonts w:hint="eastAsia" w:ascii="仿宋" w:hAnsi="仿宋" w:eastAsia="仿宋" w:cs="仿宋"/>
              </w:rPr>
            </w:pPr>
            <w:r>
              <w:rPr>
                <w:rFonts w:hint="eastAsia" w:ascii="仿宋" w:hAnsi="仿宋" w:eastAsia="仿宋" w:cs="仿宋"/>
                <w:sz w:val="18"/>
              </w:rPr>
              <w:t>운영 체제</w:t>
            </w:r>
          </w:p>
        </w:tc>
        <w:tc>
          <w:tcPr>
            <w:tcW w:w="4320" w:type="dxa"/>
          </w:tcPr>
          <w:p w14:paraId="30AAE177">
            <w:pPr>
              <w:rPr>
                <w:rFonts w:hint="eastAsia" w:ascii="仿宋" w:hAnsi="仿宋" w:eastAsia="仿宋" w:cs="仿宋"/>
              </w:rPr>
            </w:pPr>
            <w:r>
              <w:rPr>
                <w:rFonts w:hint="eastAsia" w:ascii="仿宋" w:hAnsi="仿宋" w:eastAsia="仿宋" w:cs="仿宋"/>
                <w:sz w:val="18"/>
              </w:rPr>
              <w:t>우분투 22.04 LTS</w:t>
            </w:r>
          </w:p>
        </w:tc>
      </w:tr>
      <w:tr w14:paraId="6BF3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4D7545">
            <w:pPr>
              <w:rPr>
                <w:rFonts w:hint="eastAsia" w:ascii="仿宋" w:hAnsi="仿宋" w:eastAsia="仿宋" w:cs="仿宋"/>
              </w:rPr>
            </w:pPr>
            <w:r>
              <w:rPr>
                <w:rFonts w:hint="eastAsia" w:ascii="仿宋" w:hAnsi="仿宋" w:eastAsia="仿宋" w:cs="仿宋"/>
                <w:sz w:val="18"/>
              </w:rPr>
              <w:t>딥러닝 프레임워크</w:t>
            </w:r>
          </w:p>
        </w:tc>
        <w:tc>
          <w:tcPr>
            <w:tcW w:w="4320" w:type="dxa"/>
          </w:tcPr>
          <w:p w14:paraId="022E7185">
            <w:pPr>
              <w:rPr>
                <w:rFonts w:hint="eastAsia" w:ascii="仿宋" w:hAnsi="仿宋" w:eastAsia="仿宋" w:cs="仿宋"/>
              </w:rPr>
            </w:pPr>
            <w:r>
              <w:rPr>
                <w:rFonts w:hint="eastAsia" w:ascii="仿宋" w:hAnsi="仿宋" w:eastAsia="仿宋" w:cs="仿宋"/>
                <w:sz w:val="18"/>
              </w:rPr>
              <w:t>PyTorch 2.1.0 + Flower 1.5.0 (연합 학습)</w:t>
            </w:r>
          </w:p>
        </w:tc>
      </w:tr>
      <w:tr w14:paraId="3071E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DEE30E">
            <w:pPr>
              <w:rPr>
                <w:rFonts w:hint="eastAsia" w:ascii="仿宋" w:hAnsi="仿宋" w:eastAsia="仿宋" w:cs="仿宋"/>
              </w:rPr>
            </w:pPr>
            <w:r>
              <w:rPr>
                <w:rFonts w:hint="eastAsia" w:ascii="仿宋" w:hAnsi="仿宋" w:eastAsia="仿宋" w:cs="仿宋"/>
                <w:sz w:val="18"/>
              </w:rPr>
              <w:t>블록체인</w:t>
            </w:r>
          </w:p>
        </w:tc>
        <w:tc>
          <w:tcPr>
            <w:tcW w:w="4320" w:type="dxa"/>
          </w:tcPr>
          <w:p w14:paraId="04AA458B">
            <w:pPr>
              <w:rPr>
                <w:rFonts w:hint="eastAsia" w:ascii="仿宋" w:hAnsi="仿宋" w:eastAsia="仿宋" w:cs="仿宋"/>
              </w:rPr>
            </w:pPr>
            <w:r>
              <w:rPr>
                <w:rFonts w:hint="eastAsia" w:ascii="仿宋" w:hAnsi="仿宋" w:eastAsia="仿宋" w:cs="仿宋"/>
                <w:sz w:val="18"/>
              </w:rPr>
              <w:t>하이퍼레저 패브릭 2.5 (테스트 네트워크)</w:t>
            </w:r>
          </w:p>
        </w:tc>
      </w:tr>
      <w:tr w14:paraId="4162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072EEF">
            <w:pPr>
              <w:rPr>
                <w:rFonts w:hint="eastAsia" w:ascii="仿宋" w:hAnsi="仿宋" w:eastAsia="仿宋" w:cs="仿宋"/>
              </w:rPr>
            </w:pPr>
            <w:r>
              <w:rPr>
                <w:rFonts w:hint="eastAsia" w:ascii="仿宋" w:hAnsi="仿宋" w:eastAsia="仿宋" w:cs="仿宋"/>
                <w:sz w:val="18"/>
              </w:rPr>
              <w:t>분산 스토리지</w:t>
            </w:r>
          </w:p>
        </w:tc>
        <w:tc>
          <w:tcPr>
            <w:tcW w:w="4320" w:type="dxa"/>
          </w:tcPr>
          <w:p w14:paraId="5FDE8FDA">
            <w:pPr>
              <w:rPr>
                <w:rFonts w:hint="eastAsia" w:ascii="仿宋" w:hAnsi="仿宋" w:eastAsia="仿宋" w:cs="仿宋"/>
              </w:rPr>
            </w:pPr>
            <w:r>
              <w:rPr>
                <w:rFonts w:hint="eastAsia" w:ascii="仿宋" w:hAnsi="仿宋" w:eastAsia="仿宋" w:cs="仿宋"/>
                <w:sz w:val="18"/>
              </w:rPr>
              <w:t>IPFS v0.24.0 (kubo)</w:t>
            </w:r>
          </w:p>
        </w:tc>
      </w:tr>
      <w:tr w14:paraId="4C84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F73A0E">
            <w:pPr>
              <w:rPr>
                <w:rFonts w:hint="eastAsia" w:ascii="仿宋" w:hAnsi="仿宋" w:eastAsia="仿宋" w:cs="仿宋"/>
              </w:rPr>
            </w:pPr>
            <w:r>
              <w:rPr>
                <w:rFonts w:hint="eastAsia" w:ascii="仿宋" w:hAnsi="仿宋" w:eastAsia="仿宋" w:cs="仿宋"/>
                <w:sz w:val="18"/>
              </w:rPr>
              <w:t>개인정보 보호</w:t>
            </w:r>
          </w:p>
        </w:tc>
        <w:tc>
          <w:tcPr>
            <w:tcW w:w="4320" w:type="dxa"/>
          </w:tcPr>
          <w:p w14:paraId="11D3AB01">
            <w:pPr>
              <w:rPr>
                <w:rFonts w:hint="eastAsia" w:ascii="仿宋" w:hAnsi="仿宋" w:eastAsia="仿宋" w:cs="仿宋"/>
              </w:rPr>
            </w:pPr>
            <w:r>
              <w:rPr>
                <w:rFonts w:hint="eastAsia" w:ascii="仿宋" w:hAnsi="仿宋" w:eastAsia="仿宋" w:cs="仿宋"/>
                <w:sz w:val="18"/>
              </w:rPr>
              <w:t>오파커스 1.4.0(DP) + MP-SPDZ 0.3.8(SMPC)</w:t>
            </w:r>
          </w:p>
        </w:tc>
      </w:tr>
    </w:tbl>
    <w:p w14:paraId="5103E837">
      <w:pPr>
        <w:rPr>
          <w:rFonts w:hint="eastAsia" w:ascii="仿宋" w:hAnsi="仿宋" w:eastAsia="仿宋" w:cs="仿宋"/>
        </w:rPr>
      </w:pPr>
    </w:p>
    <w:p w14:paraId="2F8EEBC5">
      <w:pPr>
        <w:rPr>
          <w:rFonts w:hint="eastAsia" w:ascii="仿宋" w:hAnsi="仿宋" w:eastAsia="仿宋" w:cs="仿宋"/>
        </w:rPr>
      </w:pPr>
      <w:r>
        <w:rPr>
          <w:rFonts w:hint="eastAsia" w:ascii="仿宋" w:hAnsi="仿宋" w:eastAsia="仿宋" w:cs="仿宋"/>
        </w:rPr>
        <w:t>표 5.1 실험 하드웨어 및 소프트웨어 환경</w:t>
      </w:r>
    </w:p>
    <w:p w14:paraId="03158590">
      <w:pPr>
        <w:pStyle w:val="5"/>
        <w:rPr>
          <w:rFonts w:hint="eastAsia" w:ascii="仿宋" w:hAnsi="仿宋" w:eastAsia="仿宋" w:cs="仿宋"/>
        </w:rPr>
      </w:pPr>
      <w:bookmarkStart w:id="49" w:name="_Toc11122"/>
      <w:r>
        <w:rPr>
          <w:rFonts w:hint="eastAsia" w:ascii="仿宋" w:hAnsi="仿宋" w:eastAsia="仿宋" w:cs="仿宋"/>
        </w:rPr>
        <w:t>5.1.2 데이터셋 및 데이터 분할</w:t>
      </w:r>
      <w:bookmarkEnd w:id="49"/>
    </w:p>
    <w:p w14:paraId="6584B99D">
      <w:pPr>
        <w:rPr>
          <w:rFonts w:hint="eastAsia" w:ascii="仿宋" w:hAnsi="仿宋" w:eastAsia="仿宋" w:cs="仿宋"/>
        </w:rPr>
      </w:pPr>
      <w:r>
        <w:rPr>
          <w:rFonts w:hint="eastAsia" w:ascii="仿宋" w:hAnsi="仿宋" w:eastAsia="仿宋" w:cs="仿宋"/>
        </w:rPr>
        <w:t>본 실험에서는 다양한 복잡성을 가진 이미지 분류 작업을 포괄하는 네 가지 표준 벤치마크 데이터셋(MNIST(10개 클래스, 훈련/테스트: 60,000/10,000), Fashion-MNIST(10개 클래스, 60,000/10,000), CIFAR-10(10개 클래스, 50,000/10,000), CIFAR-100(100개 클래스, 50,000/10,000))을 사용했습니다. 산업용 에지 노드 간 데이터 분포의 이질성을 시뮬레이션하기 위해, 각 클라이언트의 데이터를 비균일하게 분할하는 데 디리클레 분포(집중도 매개변수 α = 0.1 및 0.5의 두 가지 수준)를 사용했습니다. α = 0.1은 매우 이질적인 분포(각 노드에 매우 적은 수의 클래스만 포함)에 해당하고, α = 0.5는 중간 정도의 이질적인 분포에 해당합니다. 실험은 노드 크기 n = {10, 50, 100}의 세 가지 조건에서 각 구성에 대해 독립적으로 5회씩 반복하여 수행하였다. 평균값과 표준편차를 보고하였다.</w:t>
      </w:r>
    </w:p>
    <w:p w14:paraId="65C445DE">
      <w:pPr>
        <w:pStyle w:val="5"/>
        <w:rPr>
          <w:rFonts w:hint="eastAsia" w:ascii="仿宋" w:hAnsi="仿宋" w:eastAsia="仿宋" w:cs="仿宋"/>
        </w:rPr>
      </w:pPr>
      <w:bookmarkStart w:id="50" w:name="_Toc30700"/>
      <w:r>
        <w:rPr>
          <w:rFonts w:hint="eastAsia" w:ascii="仿宋" w:hAnsi="仿宋" w:eastAsia="仿宋" w:cs="仿宋"/>
        </w:rPr>
        <w:t>5.1.3 비교 방법</w:t>
      </w:r>
      <w:bookmarkEnd w:id="50"/>
    </w:p>
    <w:p w14:paraId="5A519A31">
      <w:pPr>
        <w:rPr>
          <w:rFonts w:hint="eastAsia" w:ascii="仿宋" w:hAnsi="仿宋" w:eastAsia="仿宋" w:cs="仿宋"/>
        </w:rPr>
      </w:pPr>
      <w:r>
        <w:rPr>
          <w:rFonts w:hint="eastAsia" w:ascii="仿宋" w:hAnsi="仿宋" w:eastAsia="仿宋" w:cs="仿宋"/>
        </w:rPr>
        <w:t>실험의 포괄성과 공정성을 확보하기 위해 연합 학습 알고리즘, 인센티브 메커니즘, 개인정보 보호라는 세 가지 차원에서 체계적인 비교 방법을 구축했습니다.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0AB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61F4DB90">
            <w:pPr>
              <w:rPr>
                <w:rFonts w:hint="eastAsia" w:ascii="仿宋" w:hAnsi="仿宋" w:eastAsia="仿宋" w:cs="仿宋"/>
              </w:rPr>
            </w:pPr>
            <w:r>
              <w:rPr>
                <w:rFonts w:hint="eastAsia" w:ascii="仿宋" w:hAnsi="仿宋" w:eastAsia="仿宋" w:cs="仿宋"/>
                <w:b/>
                <w:sz w:val="18"/>
              </w:rPr>
              <w:t>범주</w:t>
            </w:r>
          </w:p>
        </w:tc>
        <w:tc>
          <w:tcPr>
            <w:tcW w:w="2160" w:type="dxa"/>
          </w:tcPr>
          <w:p w14:paraId="7731FACC">
            <w:pPr>
              <w:rPr>
                <w:rFonts w:hint="eastAsia" w:ascii="仿宋" w:hAnsi="仿宋" w:eastAsia="仿宋" w:cs="仿宋"/>
              </w:rPr>
            </w:pPr>
            <w:r>
              <w:rPr>
                <w:rFonts w:hint="eastAsia" w:ascii="仿宋" w:hAnsi="仿宋" w:eastAsia="仿宋" w:cs="仿宋"/>
                <w:b/>
                <w:sz w:val="18"/>
              </w:rPr>
              <w:t>메서드 이름</w:t>
            </w:r>
          </w:p>
        </w:tc>
        <w:tc>
          <w:tcPr>
            <w:tcW w:w="2160" w:type="dxa"/>
          </w:tcPr>
          <w:p w14:paraId="53834AA3">
            <w:pPr>
              <w:rPr>
                <w:rFonts w:hint="eastAsia" w:ascii="仿宋" w:hAnsi="仿宋" w:eastAsia="仿宋" w:cs="仿宋"/>
              </w:rPr>
            </w:pPr>
            <w:r>
              <w:rPr>
                <w:rFonts w:hint="eastAsia" w:ascii="仿宋" w:hAnsi="仿宋" w:eastAsia="仿宋" w:cs="仿宋"/>
                <w:b/>
                <w:sz w:val="18"/>
              </w:rPr>
              <w:t>핵심 메커니즘</w:t>
            </w:r>
          </w:p>
        </w:tc>
        <w:tc>
          <w:tcPr>
            <w:tcW w:w="2160" w:type="dxa"/>
          </w:tcPr>
          <w:p w14:paraId="4CD8E46A">
            <w:pPr>
              <w:rPr>
                <w:rFonts w:hint="eastAsia" w:ascii="仿宋" w:hAnsi="仿宋" w:eastAsia="仿宋" w:cs="仿宋"/>
              </w:rPr>
            </w:pPr>
            <w:r>
              <w:rPr>
                <w:rFonts w:hint="eastAsia" w:ascii="仿宋" w:hAnsi="仿宋" w:eastAsia="仿宋" w:cs="仿宋"/>
                <w:b/>
                <w:sz w:val="18"/>
              </w:rPr>
              <w:t>비교 목적</w:t>
            </w:r>
          </w:p>
        </w:tc>
      </w:tr>
      <w:tr w14:paraId="6933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DD5659">
            <w:pPr>
              <w:rPr>
                <w:rFonts w:hint="eastAsia" w:ascii="仿宋" w:hAnsi="仿宋" w:eastAsia="仿宋" w:cs="仿宋"/>
              </w:rPr>
            </w:pPr>
            <w:r>
              <w:rPr>
                <w:rFonts w:hint="eastAsia" w:ascii="仿宋" w:hAnsi="仿宋" w:eastAsia="仿宋" w:cs="仿宋"/>
                <w:sz w:val="18"/>
              </w:rPr>
              <w:t>연방 학습</w:t>
            </w:r>
          </w:p>
        </w:tc>
        <w:tc>
          <w:tcPr>
            <w:tcW w:w="2160" w:type="dxa"/>
          </w:tcPr>
          <w:p w14:paraId="0016776C">
            <w:pPr>
              <w:rPr>
                <w:rFonts w:hint="eastAsia" w:ascii="仿宋" w:hAnsi="仿宋" w:eastAsia="仿宋" w:cs="仿宋"/>
              </w:rPr>
            </w:pPr>
            <w:r>
              <w:rPr>
                <w:rFonts w:hint="eastAsia" w:ascii="仿宋" w:hAnsi="仿宋" w:eastAsia="仿宋" w:cs="仿宋"/>
                <w:sz w:val="18"/>
              </w:rPr>
              <w:t>FedAvg [5]</w:t>
            </w:r>
          </w:p>
        </w:tc>
        <w:tc>
          <w:tcPr>
            <w:tcW w:w="2160" w:type="dxa"/>
          </w:tcPr>
          <w:p w14:paraId="54A2D2D9">
            <w:pPr>
              <w:rPr>
                <w:rFonts w:hint="eastAsia" w:ascii="仿宋" w:hAnsi="仿宋" w:eastAsia="仿宋" w:cs="仿宋"/>
              </w:rPr>
            </w:pPr>
            <w:r>
              <w:rPr>
                <w:rFonts w:hint="eastAsia" w:ascii="仿宋" w:hAnsi="仿宋" w:eastAsia="仿宋" w:cs="仿宋"/>
                <w:sz w:val="18"/>
              </w:rPr>
              <w:t>가중평균 집계</w:t>
            </w:r>
          </w:p>
        </w:tc>
        <w:tc>
          <w:tcPr>
            <w:tcW w:w="2160" w:type="dxa"/>
          </w:tcPr>
          <w:p w14:paraId="5CA14055">
            <w:pPr>
              <w:rPr>
                <w:rFonts w:hint="eastAsia" w:ascii="仿宋" w:hAnsi="仿宋" w:eastAsia="仿宋" w:cs="仿宋"/>
              </w:rPr>
            </w:pPr>
            <w:r>
              <w:rPr>
                <w:rFonts w:hint="eastAsia" w:ascii="仿宋" w:hAnsi="仿宋" w:eastAsia="仿宋" w:cs="仿宋"/>
                <w:sz w:val="18"/>
              </w:rPr>
              <w:t>기준 알고리즘 성능</w:t>
            </w:r>
          </w:p>
        </w:tc>
      </w:tr>
      <w:tr w14:paraId="035D8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09C790">
            <w:pPr>
              <w:rPr>
                <w:rFonts w:hint="eastAsia" w:ascii="仿宋" w:hAnsi="仿宋" w:eastAsia="仿宋" w:cs="仿宋"/>
              </w:rPr>
            </w:pPr>
            <w:r>
              <w:rPr>
                <w:rFonts w:hint="eastAsia" w:ascii="仿宋" w:hAnsi="仿宋" w:eastAsia="仿宋" w:cs="仿宋"/>
                <w:sz w:val="18"/>
              </w:rPr>
              <w:t>연방 학습</w:t>
            </w:r>
          </w:p>
        </w:tc>
        <w:tc>
          <w:tcPr>
            <w:tcW w:w="2160" w:type="dxa"/>
          </w:tcPr>
          <w:p w14:paraId="1C8A955A">
            <w:pPr>
              <w:rPr>
                <w:rFonts w:hint="eastAsia" w:ascii="仿宋" w:hAnsi="仿宋" w:eastAsia="仿宋" w:cs="仿宋"/>
              </w:rPr>
            </w:pPr>
            <w:r>
              <w:rPr>
                <w:rFonts w:hint="eastAsia" w:ascii="仿宋" w:hAnsi="仿宋" w:eastAsia="仿宋" w:cs="仿宋"/>
                <w:sz w:val="18"/>
              </w:rPr>
              <w:t>FedProx [9]</w:t>
            </w:r>
          </w:p>
        </w:tc>
        <w:tc>
          <w:tcPr>
            <w:tcW w:w="2160" w:type="dxa"/>
          </w:tcPr>
          <w:p w14:paraId="219F08C7">
            <w:pPr>
              <w:rPr>
                <w:rFonts w:hint="eastAsia" w:ascii="仿宋" w:hAnsi="仿宋" w:eastAsia="仿宋" w:cs="仿宋"/>
              </w:rPr>
            </w:pPr>
            <w:r>
              <w:rPr>
                <w:rFonts w:hint="eastAsia" w:ascii="仿宋" w:hAnsi="仿宋" w:eastAsia="仿宋" w:cs="仿宋"/>
                <w:sz w:val="18"/>
              </w:rPr>
              <w:t>근위항 이질성 반응</w:t>
            </w:r>
          </w:p>
        </w:tc>
        <w:tc>
          <w:tcPr>
            <w:tcW w:w="2160" w:type="dxa"/>
          </w:tcPr>
          <w:p w14:paraId="5BEDE4CC">
            <w:pPr>
              <w:rPr>
                <w:rFonts w:hint="eastAsia" w:ascii="仿宋" w:hAnsi="仿宋" w:eastAsia="仿宋" w:cs="仿宋"/>
              </w:rPr>
            </w:pPr>
            <w:r>
              <w:rPr>
                <w:rFonts w:hint="eastAsia" w:ascii="仿宋" w:hAnsi="仿宋" w:eastAsia="仿宋" w:cs="仿宋"/>
                <w:sz w:val="18"/>
              </w:rPr>
              <w:t>비IID 강건성</w:t>
            </w:r>
          </w:p>
        </w:tc>
      </w:tr>
      <w:tr w14:paraId="33B2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FA9AB7">
            <w:pPr>
              <w:rPr>
                <w:rFonts w:hint="eastAsia" w:ascii="仿宋" w:hAnsi="仿宋" w:eastAsia="仿宋" w:cs="仿宋"/>
              </w:rPr>
            </w:pPr>
            <w:r>
              <w:rPr>
                <w:rFonts w:hint="eastAsia" w:ascii="仿宋" w:hAnsi="仿宋" w:eastAsia="仿宋" w:cs="仿宋"/>
                <w:sz w:val="18"/>
              </w:rPr>
              <w:t>연방 학습</w:t>
            </w:r>
          </w:p>
        </w:tc>
        <w:tc>
          <w:tcPr>
            <w:tcW w:w="2160" w:type="dxa"/>
          </w:tcPr>
          <w:p w14:paraId="21B8A342">
            <w:pPr>
              <w:rPr>
                <w:rFonts w:hint="eastAsia" w:ascii="仿宋" w:hAnsi="仿宋" w:eastAsia="仿宋" w:cs="仿宋"/>
              </w:rPr>
            </w:pPr>
            <w:r>
              <w:rPr>
                <w:rFonts w:hint="eastAsia" w:ascii="仿宋" w:hAnsi="仿宋" w:eastAsia="仿宋" w:cs="仿宋"/>
                <w:sz w:val="18"/>
              </w:rPr>
              <w:t>비계 [10]</w:t>
            </w:r>
          </w:p>
        </w:tc>
        <w:tc>
          <w:tcPr>
            <w:tcW w:w="2160" w:type="dxa"/>
          </w:tcPr>
          <w:p w14:paraId="34BED8CC">
            <w:pPr>
              <w:rPr>
                <w:rFonts w:hint="eastAsia" w:ascii="仿宋" w:hAnsi="仿宋" w:eastAsia="仿宋" w:cs="仿宋"/>
              </w:rPr>
            </w:pPr>
            <w:r>
              <w:rPr>
                <w:rFonts w:hint="eastAsia" w:ascii="仿宋" w:hAnsi="仿宋" w:eastAsia="仿宋" w:cs="仿宋"/>
                <w:sz w:val="18"/>
              </w:rPr>
              <w:t>제어변수법</w:t>
            </w:r>
          </w:p>
        </w:tc>
        <w:tc>
          <w:tcPr>
            <w:tcW w:w="2160" w:type="dxa"/>
          </w:tcPr>
          <w:p w14:paraId="13B0EDA1">
            <w:pPr>
              <w:rPr>
                <w:rFonts w:hint="eastAsia" w:ascii="仿宋" w:hAnsi="仿宋" w:eastAsia="仿宋" w:cs="仿宋"/>
              </w:rPr>
            </w:pPr>
            <w:r>
              <w:rPr>
                <w:rFonts w:hint="eastAsia" w:ascii="仿宋" w:hAnsi="仿宋" w:eastAsia="仿宋" w:cs="仿宋"/>
                <w:sz w:val="18"/>
              </w:rPr>
              <w:t>수렴 가속 기능</w:t>
            </w:r>
          </w:p>
        </w:tc>
      </w:tr>
      <w:tr w14:paraId="2FF5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61967E">
            <w:pPr>
              <w:rPr>
                <w:rFonts w:hint="eastAsia" w:ascii="仿宋" w:hAnsi="仿宋" w:eastAsia="仿宋" w:cs="仿宋"/>
              </w:rPr>
            </w:pPr>
            <w:r>
              <w:rPr>
                <w:rFonts w:hint="eastAsia" w:ascii="仿宋" w:hAnsi="仿宋" w:eastAsia="仿宋" w:cs="仿宋"/>
                <w:sz w:val="18"/>
              </w:rPr>
              <w:t>연방 학습</w:t>
            </w:r>
          </w:p>
        </w:tc>
        <w:tc>
          <w:tcPr>
            <w:tcW w:w="2160" w:type="dxa"/>
          </w:tcPr>
          <w:p w14:paraId="7EA60149">
            <w:pPr>
              <w:rPr>
                <w:rFonts w:hint="eastAsia" w:ascii="仿宋" w:hAnsi="仿宋" w:eastAsia="仿宋" w:cs="仿宋"/>
              </w:rPr>
            </w:pPr>
            <w:r>
              <w:rPr>
                <w:rFonts w:hint="eastAsia" w:ascii="仿宋" w:hAnsi="仿宋" w:eastAsia="仿宋" w:cs="仿宋"/>
                <w:sz w:val="18"/>
              </w:rPr>
              <w:t>FedNova [11]</w:t>
            </w:r>
          </w:p>
        </w:tc>
        <w:tc>
          <w:tcPr>
            <w:tcW w:w="2160" w:type="dxa"/>
          </w:tcPr>
          <w:p w14:paraId="1D1E6179">
            <w:pPr>
              <w:rPr>
                <w:rFonts w:hint="eastAsia" w:ascii="仿宋" w:hAnsi="仿宋" w:eastAsia="仿宋" w:cs="仿宋"/>
              </w:rPr>
            </w:pPr>
            <w:r>
              <w:rPr>
                <w:rFonts w:hint="eastAsia" w:ascii="仿宋" w:hAnsi="仿宋" w:eastAsia="仿宋" w:cs="仿宋"/>
                <w:sz w:val="18"/>
              </w:rPr>
              <w:t>정규화된 집계</w:t>
            </w:r>
          </w:p>
        </w:tc>
        <w:tc>
          <w:tcPr>
            <w:tcW w:w="2160" w:type="dxa"/>
          </w:tcPr>
          <w:p w14:paraId="0B97B4A6">
            <w:pPr>
              <w:rPr>
                <w:rFonts w:hint="eastAsia" w:ascii="仿宋" w:hAnsi="仿宋" w:eastAsia="仿宋" w:cs="仿宋"/>
              </w:rPr>
            </w:pPr>
            <w:r>
              <w:rPr>
                <w:rFonts w:hint="eastAsia" w:ascii="仿宋" w:hAnsi="仿宋" w:eastAsia="仿宋" w:cs="仿宋"/>
                <w:sz w:val="18"/>
              </w:rPr>
              <w:t>비IID 정확도</w:t>
            </w:r>
          </w:p>
        </w:tc>
      </w:tr>
      <w:tr w14:paraId="1247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4C8DCB">
            <w:pPr>
              <w:rPr>
                <w:rFonts w:hint="eastAsia" w:ascii="仿宋" w:hAnsi="仿宋" w:eastAsia="仿宋" w:cs="仿宋"/>
              </w:rPr>
            </w:pPr>
            <w:r>
              <w:rPr>
                <w:rFonts w:hint="eastAsia" w:ascii="仿宋" w:hAnsi="仿宋" w:eastAsia="仿宋" w:cs="仿宋"/>
                <w:sz w:val="18"/>
              </w:rPr>
              <w:t>인센티브 메커니즘</w:t>
            </w:r>
          </w:p>
        </w:tc>
        <w:tc>
          <w:tcPr>
            <w:tcW w:w="2160" w:type="dxa"/>
          </w:tcPr>
          <w:p w14:paraId="1511255C">
            <w:pPr>
              <w:rPr>
                <w:rFonts w:hint="eastAsia" w:ascii="仿宋" w:hAnsi="仿宋" w:eastAsia="仿宋" w:cs="仿宋"/>
              </w:rPr>
            </w:pPr>
            <w:r>
              <w:rPr>
                <w:rFonts w:hint="eastAsia" w:ascii="仿宋" w:hAnsi="仿宋" w:eastAsia="仿宋" w:cs="仿宋"/>
                <w:sz w:val="18"/>
              </w:rPr>
              <w:t>인센티브 없음</w:t>
            </w:r>
          </w:p>
        </w:tc>
        <w:tc>
          <w:tcPr>
            <w:tcW w:w="2160" w:type="dxa"/>
          </w:tcPr>
          <w:p w14:paraId="4F75D07E">
            <w:pPr>
              <w:rPr>
                <w:rFonts w:hint="eastAsia" w:ascii="仿宋" w:hAnsi="仿宋" w:eastAsia="仿宋" w:cs="仿宋"/>
              </w:rPr>
            </w:pPr>
            <w:r>
              <w:rPr>
                <w:rFonts w:hint="eastAsia" w:ascii="仿宋" w:hAnsi="仿宋" w:eastAsia="仿宋" w:cs="仿宋"/>
                <w:sz w:val="18"/>
              </w:rPr>
              <w:t>추가적인 인센티브 메커니즘 없음</w:t>
            </w:r>
          </w:p>
        </w:tc>
        <w:tc>
          <w:tcPr>
            <w:tcW w:w="2160" w:type="dxa"/>
          </w:tcPr>
          <w:p w14:paraId="0D078082">
            <w:pPr>
              <w:rPr>
                <w:rFonts w:hint="eastAsia" w:ascii="仿宋" w:hAnsi="仿宋" w:eastAsia="仿宋" w:cs="仿宋"/>
              </w:rPr>
            </w:pPr>
            <w:r>
              <w:rPr>
                <w:rFonts w:hint="eastAsia" w:ascii="仿宋" w:hAnsi="仿宋" w:eastAsia="仿宋" w:cs="仿宋"/>
                <w:sz w:val="18"/>
              </w:rPr>
              <w:t>참여율의 하한선</w:t>
            </w:r>
          </w:p>
        </w:tc>
      </w:tr>
      <w:tr w14:paraId="240C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CFAC70">
            <w:pPr>
              <w:rPr>
                <w:rFonts w:hint="eastAsia" w:ascii="仿宋" w:hAnsi="仿宋" w:eastAsia="仿宋" w:cs="仿宋"/>
              </w:rPr>
            </w:pPr>
            <w:r>
              <w:rPr>
                <w:rFonts w:hint="eastAsia" w:ascii="仿宋" w:hAnsi="仿宋" w:eastAsia="仿宋" w:cs="仿宋"/>
                <w:sz w:val="18"/>
              </w:rPr>
              <w:t>인센티브 메커니즘</w:t>
            </w:r>
          </w:p>
        </w:tc>
        <w:tc>
          <w:tcPr>
            <w:tcW w:w="2160" w:type="dxa"/>
          </w:tcPr>
          <w:p w14:paraId="42AB23EF">
            <w:pPr>
              <w:rPr>
                <w:rFonts w:hint="eastAsia" w:ascii="仿宋" w:hAnsi="仿宋" w:eastAsia="仿宋" w:cs="仿宋"/>
              </w:rPr>
            </w:pPr>
            <w:r>
              <w:rPr>
                <w:rFonts w:hint="eastAsia" w:ascii="仿宋" w:hAnsi="仿宋" w:eastAsia="仿宋" w:cs="仿宋"/>
                <w:sz w:val="18"/>
              </w:rPr>
              <w:t>고정 보상</w:t>
            </w:r>
          </w:p>
        </w:tc>
        <w:tc>
          <w:tcPr>
            <w:tcW w:w="2160" w:type="dxa"/>
          </w:tcPr>
          <w:p w14:paraId="7D9A911D">
            <w:pPr>
              <w:rPr>
                <w:rFonts w:hint="eastAsia" w:ascii="仿宋" w:hAnsi="仿宋" w:eastAsia="仿宋" w:cs="仿宋"/>
              </w:rPr>
            </w:pPr>
            <w:r>
              <w:rPr>
                <w:rFonts w:hint="eastAsia" w:ascii="仿宋" w:hAnsi="仿宋" w:eastAsia="仿宋" w:cs="仿宋"/>
                <w:sz w:val="18"/>
              </w:rPr>
              <w:t>균등한 분배</w:t>
            </w:r>
          </w:p>
        </w:tc>
        <w:tc>
          <w:tcPr>
            <w:tcW w:w="2160" w:type="dxa"/>
          </w:tcPr>
          <w:p w14:paraId="51A9C80D">
            <w:pPr>
              <w:rPr>
                <w:rFonts w:hint="eastAsia" w:ascii="仿宋" w:hAnsi="仿宋" w:eastAsia="仿宋" w:cs="仿宋"/>
              </w:rPr>
            </w:pPr>
            <w:r>
              <w:rPr>
                <w:rFonts w:hint="eastAsia" w:ascii="仿宋" w:hAnsi="仿宋" w:eastAsia="仿宋" w:cs="仿宋"/>
                <w:sz w:val="18"/>
              </w:rPr>
              <w:t>공정성 참조</w:t>
            </w:r>
          </w:p>
        </w:tc>
      </w:tr>
      <w:tr w14:paraId="75BA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85D7D6">
            <w:pPr>
              <w:rPr>
                <w:rFonts w:hint="eastAsia" w:ascii="仿宋" w:hAnsi="仿宋" w:eastAsia="仿宋" w:cs="仿宋"/>
              </w:rPr>
            </w:pPr>
            <w:r>
              <w:rPr>
                <w:rFonts w:hint="eastAsia" w:ascii="仿宋" w:hAnsi="仿宋" w:eastAsia="仿宋" w:cs="仿宋"/>
                <w:sz w:val="18"/>
              </w:rPr>
              <w:t>인센티브 메커니즘</w:t>
            </w:r>
          </w:p>
        </w:tc>
        <w:tc>
          <w:tcPr>
            <w:tcW w:w="2160" w:type="dxa"/>
          </w:tcPr>
          <w:p w14:paraId="44647FAD">
            <w:pPr>
              <w:rPr>
                <w:rFonts w:hint="eastAsia" w:ascii="仿宋" w:hAnsi="仿宋" w:eastAsia="仿宋" w:cs="仿宋"/>
              </w:rPr>
            </w:pPr>
            <w:r>
              <w:rPr>
                <w:rFonts w:hint="eastAsia" w:ascii="仿宋" w:hAnsi="仿宋" w:eastAsia="仿宋" w:cs="仿宋"/>
                <w:sz w:val="18"/>
              </w:rPr>
              <w:t>평판 중심</w:t>
            </w:r>
          </w:p>
        </w:tc>
        <w:tc>
          <w:tcPr>
            <w:tcW w:w="2160" w:type="dxa"/>
          </w:tcPr>
          <w:p w14:paraId="4497AC05">
            <w:pPr>
              <w:rPr>
                <w:rFonts w:hint="eastAsia" w:ascii="仿宋" w:hAnsi="仿宋" w:eastAsia="仿宋" w:cs="仿宋"/>
              </w:rPr>
            </w:pPr>
            <w:r>
              <w:rPr>
                <w:rFonts w:hint="eastAsia" w:ascii="仿宋" w:hAnsi="仿宋" w:eastAsia="仿宋" w:cs="仿宋"/>
                <w:sz w:val="18"/>
              </w:rPr>
              <w:t>누적 평판 가중치</w:t>
            </w:r>
          </w:p>
        </w:tc>
        <w:tc>
          <w:tcPr>
            <w:tcW w:w="2160" w:type="dxa"/>
          </w:tcPr>
          <w:p w14:paraId="1172CF59">
            <w:pPr>
              <w:rPr>
                <w:rFonts w:hint="eastAsia" w:ascii="仿宋" w:hAnsi="仿宋" w:eastAsia="仿宋" w:cs="仿宋"/>
              </w:rPr>
            </w:pPr>
            <w:r>
              <w:rPr>
                <w:rFonts w:hint="eastAsia" w:ascii="仿宋" w:hAnsi="仿宋" w:eastAsia="仿宋" w:cs="仿宋"/>
                <w:sz w:val="18"/>
              </w:rPr>
              <w:t>지속적인 참여 효과</w:t>
            </w:r>
          </w:p>
        </w:tc>
      </w:tr>
      <w:tr w14:paraId="778B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953562">
            <w:pPr>
              <w:rPr>
                <w:rFonts w:hint="eastAsia" w:ascii="仿宋" w:hAnsi="仿宋" w:eastAsia="仿宋" w:cs="仿宋"/>
              </w:rPr>
            </w:pPr>
            <w:r>
              <w:rPr>
                <w:rFonts w:hint="eastAsia" w:ascii="仿宋" w:hAnsi="仿宋" w:eastAsia="仿宋" w:cs="仿宋"/>
                <w:sz w:val="18"/>
              </w:rPr>
              <w:t>개인정보 보호</w:t>
            </w:r>
          </w:p>
        </w:tc>
        <w:tc>
          <w:tcPr>
            <w:tcW w:w="2160" w:type="dxa"/>
          </w:tcPr>
          <w:p w14:paraId="6FA11B7B">
            <w:pPr>
              <w:rPr>
                <w:rFonts w:hint="eastAsia" w:ascii="仿宋" w:hAnsi="仿宋" w:eastAsia="仿宋" w:cs="仿宋"/>
              </w:rPr>
            </w:pPr>
            <w:r>
              <w:rPr>
                <w:rFonts w:hint="eastAsia" w:ascii="仿宋" w:hAnsi="仿宋" w:eastAsia="仿宋" w:cs="仿宋"/>
                <w:sz w:val="18"/>
              </w:rPr>
              <w:t>보호되지 않음</w:t>
            </w:r>
          </w:p>
        </w:tc>
        <w:tc>
          <w:tcPr>
            <w:tcW w:w="2160" w:type="dxa"/>
          </w:tcPr>
          <w:p w14:paraId="5085D344">
            <w:pPr>
              <w:rPr>
                <w:rFonts w:hint="eastAsia" w:ascii="仿宋" w:hAnsi="仿宋" w:eastAsia="仿宋" w:cs="仿宋"/>
              </w:rPr>
            </w:pPr>
            <w:r>
              <w:rPr>
                <w:rFonts w:hint="eastAsia" w:ascii="仿宋" w:hAnsi="仿宋" w:eastAsia="仿宋" w:cs="仿宋"/>
                <w:sz w:val="18"/>
              </w:rPr>
              <w:t>DP/SMPC가 적용되지 않음</w:t>
            </w:r>
          </w:p>
        </w:tc>
        <w:tc>
          <w:tcPr>
            <w:tcW w:w="2160" w:type="dxa"/>
          </w:tcPr>
          <w:p w14:paraId="61908112">
            <w:pPr>
              <w:rPr>
                <w:rFonts w:hint="eastAsia" w:ascii="仿宋" w:hAnsi="仿宋" w:eastAsia="仿宋" w:cs="仿宋"/>
              </w:rPr>
            </w:pPr>
            <w:r>
              <w:rPr>
                <w:rFonts w:hint="eastAsia" w:ascii="仿宋" w:hAnsi="仿宋" w:eastAsia="仿宋" w:cs="仿宋"/>
                <w:sz w:val="18"/>
              </w:rPr>
              <w:t>성능 이론적 한계</w:t>
            </w:r>
          </w:p>
        </w:tc>
      </w:tr>
      <w:tr w14:paraId="00EA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41D8DB">
            <w:pPr>
              <w:rPr>
                <w:rFonts w:hint="eastAsia" w:ascii="仿宋" w:hAnsi="仿宋" w:eastAsia="仿宋" w:cs="仿宋"/>
              </w:rPr>
            </w:pPr>
            <w:r>
              <w:rPr>
                <w:rFonts w:hint="eastAsia" w:ascii="仿宋" w:hAnsi="仿宋" w:eastAsia="仿宋" w:cs="仿宋"/>
                <w:sz w:val="18"/>
              </w:rPr>
              <w:t>개인정보 보호</w:t>
            </w:r>
          </w:p>
        </w:tc>
        <w:tc>
          <w:tcPr>
            <w:tcW w:w="2160" w:type="dxa"/>
          </w:tcPr>
          <w:p w14:paraId="4EFF0E0E">
            <w:pPr>
              <w:rPr>
                <w:rFonts w:hint="eastAsia" w:ascii="仿宋" w:hAnsi="仿宋" w:eastAsia="仿宋" w:cs="仿宋"/>
              </w:rPr>
            </w:pPr>
            <w:r>
              <w:rPr>
                <w:rFonts w:hint="eastAsia" w:ascii="仿宋" w:hAnsi="仿宋" w:eastAsia="仿宋" w:cs="仿宋"/>
                <w:sz w:val="18"/>
              </w:rPr>
              <w:t>DP(엡실론=1.0)</w:t>
            </w:r>
          </w:p>
        </w:tc>
        <w:tc>
          <w:tcPr>
            <w:tcW w:w="2160" w:type="dxa"/>
          </w:tcPr>
          <w:p w14:paraId="0F31B4A7">
            <w:pPr>
              <w:rPr>
                <w:rFonts w:hint="eastAsia" w:ascii="仿宋" w:hAnsi="仿宋" w:eastAsia="仿宋" w:cs="仿宋"/>
              </w:rPr>
            </w:pPr>
            <w:r>
              <w:rPr>
                <w:rFonts w:hint="eastAsia" w:ascii="仿宋" w:hAnsi="仿宋" w:eastAsia="仿宋" w:cs="仿宋"/>
                <w:sz w:val="18"/>
              </w:rPr>
              <w:t>가우시안 노이즈 주입</w:t>
            </w:r>
          </w:p>
        </w:tc>
        <w:tc>
          <w:tcPr>
            <w:tcW w:w="2160" w:type="dxa"/>
          </w:tcPr>
          <w:p w14:paraId="76F1F1E4">
            <w:pPr>
              <w:rPr>
                <w:rFonts w:hint="eastAsia" w:ascii="仿宋" w:hAnsi="仿宋" w:eastAsia="仿宋" w:cs="仿宋"/>
              </w:rPr>
            </w:pPr>
            <w:r>
              <w:rPr>
                <w:rFonts w:hint="eastAsia" w:ascii="仿宋" w:hAnsi="仿宋" w:eastAsia="仿宋" w:cs="仿宋"/>
                <w:sz w:val="18"/>
              </w:rPr>
              <w:t>사생활 보호와 유용성의 균형</w:t>
            </w:r>
          </w:p>
        </w:tc>
      </w:tr>
      <w:tr w14:paraId="218F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0A5682">
            <w:pPr>
              <w:rPr>
                <w:rFonts w:hint="eastAsia" w:ascii="仿宋" w:hAnsi="仿宋" w:eastAsia="仿宋" w:cs="仿宋"/>
              </w:rPr>
            </w:pPr>
            <w:r>
              <w:rPr>
                <w:rFonts w:hint="eastAsia" w:ascii="仿宋" w:hAnsi="仿宋" w:eastAsia="仿宋" w:cs="仿宋"/>
                <w:sz w:val="18"/>
              </w:rPr>
              <w:t>개인정보 보호</w:t>
            </w:r>
          </w:p>
        </w:tc>
        <w:tc>
          <w:tcPr>
            <w:tcW w:w="2160" w:type="dxa"/>
          </w:tcPr>
          <w:p w14:paraId="2C5D3E62">
            <w:pPr>
              <w:rPr>
                <w:rFonts w:hint="eastAsia" w:ascii="仿宋" w:hAnsi="仿宋" w:eastAsia="仿宋" w:cs="仿宋"/>
              </w:rPr>
            </w:pPr>
            <w:r>
              <w:rPr>
                <w:rFonts w:hint="eastAsia" w:ascii="仿宋" w:hAnsi="仿宋" w:eastAsia="仿宋" w:cs="仿宋"/>
                <w:sz w:val="18"/>
              </w:rPr>
              <w:t>SMPC+DP</w:t>
            </w:r>
          </w:p>
        </w:tc>
        <w:tc>
          <w:tcPr>
            <w:tcW w:w="2160" w:type="dxa"/>
          </w:tcPr>
          <w:p w14:paraId="5ADC5EA6">
            <w:pPr>
              <w:rPr>
                <w:rFonts w:hint="eastAsia" w:ascii="仿宋" w:hAnsi="仿宋" w:eastAsia="仿宋" w:cs="仿宋"/>
              </w:rPr>
            </w:pPr>
            <w:r>
              <w:rPr>
                <w:rFonts w:hint="eastAsia" w:ascii="仿宋" w:hAnsi="仿宋" w:eastAsia="仿宋" w:cs="仿宋"/>
                <w:sz w:val="18"/>
              </w:rPr>
              <w:t>안전한 집계 + DP</w:t>
            </w:r>
          </w:p>
        </w:tc>
        <w:tc>
          <w:tcPr>
            <w:tcW w:w="2160" w:type="dxa"/>
          </w:tcPr>
          <w:p w14:paraId="0C56B612">
            <w:pPr>
              <w:rPr>
                <w:rFonts w:hint="eastAsia" w:ascii="仿宋" w:hAnsi="仿宋" w:eastAsia="仿宋" w:cs="仿宋"/>
              </w:rPr>
            </w:pPr>
            <w:r>
              <w:rPr>
                <w:rFonts w:hint="eastAsia" w:ascii="仿宋" w:hAnsi="仿宋" w:eastAsia="仿宋" w:cs="仿宋"/>
                <w:sz w:val="18"/>
              </w:rPr>
              <w:t>종합적인 보호 효과</w:t>
            </w:r>
          </w:p>
        </w:tc>
      </w:tr>
    </w:tbl>
    <w:p w14:paraId="309E6C2A">
      <w:pPr>
        <w:rPr>
          <w:rFonts w:hint="eastAsia" w:ascii="仿宋" w:hAnsi="仿宋" w:eastAsia="仿宋" w:cs="仿宋"/>
        </w:rPr>
      </w:pPr>
    </w:p>
    <w:p w14:paraId="7089C6BD">
      <w:pPr>
        <w:rPr>
          <w:rFonts w:hint="eastAsia" w:ascii="仿宋" w:hAnsi="仿宋" w:eastAsia="仿宋" w:cs="仿宋"/>
        </w:rPr>
      </w:pPr>
      <w:r>
        <w:rPr>
          <w:rFonts w:hint="eastAsia" w:ascii="仿宋" w:hAnsi="仿宋" w:eastAsia="仿宋" w:cs="仿宋"/>
        </w:rPr>
        <w:t>표 5.2 비교 방법 개요</w:t>
      </w:r>
    </w:p>
    <w:p w14:paraId="1AAB0772">
      <w:pPr>
        <w:pStyle w:val="4"/>
        <w:rPr>
          <w:rFonts w:hint="eastAsia" w:ascii="仿宋" w:hAnsi="仿宋" w:eastAsia="仿宋" w:cs="仿宋"/>
        </w:rPr>
      </w:pPr>
      <w:bookmarkStart w:id="51" w:name="_Toc9805"/>
      <w:r>
        <w:rPr>
          <w:rFonts w:hint="eastAsia" w:ascii="仿宋" w:hAnsi="仿宋" w:eastAsia="仿宋" w:cs="仿宋"/>
        </w:rPr>
        <w:t>5.2 연합 학습 성능 비교 실험</w:t>
      </w:r>
      <w:bookmarkEnd w:id="51"/>
    </w:p>
    <w:p w14:paraId="7A4DF14B">
      <w:pPr>
        <w:pStyle w:val="5"/>
        <w:rPr>
          <w:rFonts w:hint="eastAsia" w:ascii="仿宋" w:hAnsi="仿宋" w:eastAsia="仿宋" w:cs="仿宋"/>
        </w:rPr>
      </w:pPr>
      <w:bookmarkStart w:id="52" w:name="_Toc4778"/>
      <w:r>
        <w:rPr>
          <w:rFonts w:hint="eastAsia" w:ascii="仿宋" w:hAnsi="仿宋" w:eastAsia="仿宋" w:cs="仿宋"/>
        </w:rPr>
        <w:t>5.2.1 실험 장치 구성</w:t>
      </w:r>
      <w:bookmarkEnd w:id="52"/>
    </w:p>
    <w:p w14:paraId="09A39C4D">
      <w:pPr>
        <w:rPr>
          <w:rFonts w:hint="eastAsia" w:ascii="仿宋" w:hAnsi="仿宋" w:eastAsia="仿宋" w:cs="仿宋"/>
        </w:rPr>
      </w:pPr>
      <w:r>
        <w:rPr>
          <w:rFonts w:hint="eastAsia" w:ascii="仿宋" w:hAnsi="仿宋" w:eastAsia="仿宋" w:cs="仿宋"/>
        </w:rPr>
        <w:t>연합 학습 실험에서는 ResNet-18을 백본 네트워크로 사용합니다. 각 클라이언트는 SGD 옵티마이저(초기 학습률 0.01, 모멘텀 0.9, 50라운드마다 0.1로 감소)를 사용하여 5라운드의 로컬 학습(배치 크기=64)을 수행합니다. 전체 통신 라운드 제한은 200라운드로 설정되었으며, 각 라운드에는 전체 클라이언트 중 30%가 무작위로 선택되어 참여합니다(부분 참여). 통신 오버헤드는 각 라운드에서 업로드/다운로드되는 파라미터의 바이트 단위로 측정됩니다.</w:t>
      </w:r>
    </w:p>
    <w:p w14:paraId="14FF775B">
      <w:pPr>
        <w:pStyle w:val="5"/>
        <w:rPr>
          <w:rFonts w:hint="eastAsia" w:ascii="仿宋" w:hAnsi="仿宋" w:eastAsia="仿宋" w:cs="仿宋"/>
        </w:rPr>
      </w:pPr>
      <w:bookmarkStart w:id="53" w:name="_Toc3650"/>
      <w:r>
        <w:rPr>
          <w:rFonts w:hint="eastAsia" w:ascii="仿宋" w:hAnsi="仿宋" w:eastAsia="仿宋" w:cs="仿宋"/>
        </w:rPr>
        <w:t>5.2.2 비IID 환경 성능 비교</w:t>
      </w:r>
      <w:bookmarkEnd w:id="53"/>
    </w:p>
    <w:p w14:paraId="6849A094">
      <w:pPr>
        <w:rPr>
          <w:rFonts w:hint="eastAsia" w:ascii="仿宋" w:hAnsi="仿宋" w:eastAsia="仿宋" w:cs="仿宋"/>
        </w:rPr>
      </w:pPr>
      <w:r>
        <w:rPr>
          <w:rFonts w:hint="eastAsia" w:ascii="仿宋" w:hAnsi="仿宋" w:eastAsia="仿宋" w:cs="仿宋"/>
        </w:rPr>
        <w:t>표 5.3은 가장 까다로운 실험 환경(노드 100개, 알파=0.1 높이, 비IID, CIFAR-10 데이터셋)에서 각 방법의 성능 비교를 보여줍니다.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930"/>
        <w:gridCol w:w="1728"/>
      </w:tblGrid>
      <w:tr w14:paraId="1E83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62DFB56">
            <w:pPr>
              <w:rPr>
                <w:rFonts w:hint="eastAsia" w:ascii="仿宋" w:hAnsi="仿宋" w:eastAsia="仿宋" w:cs="仿宋"/>
              </w:rPr>
            </w:pPr>
            <w:r>
              <w:rPr>
                <w:rFonts w:hint="eastAsia" w:ascii="仿宋" w:hAnsi="仿宋" w:eastAsia="仿宋" w:cs="仿宋"/>
                <w:b/>
                <w:sz w:val="18"/>
              </w:rPr>
              <w:t>방법</w:t>
            </w:r>
          </w:p>
        </w:tc>
        <w:tc>
          <w:tcPr>
            <w:tcW w:w="1728" w:type="dxa"/>
          </w:tcPr>
          <w:p w14:paraId="682AF4E2">
            <w:pPr>
              <w:rPr>
                <w:rFonts w:hint="eastAsia" w:ascii="仿宋" w:hAnsi="仿宋" w:eastAsia="仿宋" w:cs="仿宋"/>
              </w:rPr>
            </w:pPr>
            <w:r>
              <w:rPr>
                <w:rFonts w:hint="eastAsia" w:ascii="仿宋" w:hAnsi="仿宋" w:eastAsia="仿宋" w:cs="仿宋"/>
                <w:b/>
                <w:sz w:val="18"/>
              </w:rPr>
              <w:t>최고 정확도(%)</w:t>
            </w:r>
          </w:p>
        </w:tc>
        <w:tc>
          <w:tcPr>
            <w:tcW w:w="1728" w:type="dxa"/>
          </w:tcPr>
          <w:p w14:paraId="53191FAC">
            <w:pPr>
              <w:rPr>
                <w:rFonts w:hint="eastAsia" w:ascii="仿宋" w:hAnsi="仿宋" w:eastAsia="仿宋" w:cs="仿宋"/>
              </w:rPr>
            </w:pPr>
            <w:r>
              <w:rPr>
                <w:rFonts w:hint="eastAsia" w:ascii="仿宋" w:hAnsi="仿宋" w:eastAsia="仿宋" w:cs="仿宋"/>
                <w:b/>
                <w:sz w:val="18"/>
              </w:rPr>
              <w:t>75%에 도달하는 데 필요한 라운드 수</w:t>
            </w:r>
          </w:p>
        </w:tc>
        <w:tc>
          <w:tcPr>
            <w:tcW w:w="1728" w:type="dxa"/>
          </w:tcPr>
          <w:p w14:paraId="61F32C56">
            <w:pPr>
              <w:rPr>
                <w:rFonts w:hint="eastAsia" w:ascii="仿宋" w:hAnsi="仿宋" w:eastAsia="仿宋" w:cs="仿宋"/>
              </w:rPr>
            </w:pPr>
            <w:r>
              <w:rPr>
                <w:rFonts w:hint="eastAsia" w:ascii="仿宋" w:hAnsi="仿宋" w:eastAsia="仿宋" w:cs="仿宋"/>
                <w:b/>
                <w:sz w:val="18"/>
              </w:rPr>
              <w:t>통신 오버헤드(MB/라운드)</w:t>
            </w:r>
          </w:p>
        </w:tc>
        <w:tc>
          <w:tcPr>
            <w:tcW w:w="1728" w:type="dxa"/>
          </w:tcPr>
          <w:p w14:paraId="47A8B066">
            <w:pPr>
              <w:rPr>
                <w:rFonts w:hint="eastAsia" w:ascii="仿宋" w:hAnsi="仿宋" w:eastAsia="仿宋" w:cs="仿宋"/>
              </w:rPr>
            </w:pPr>
            <w:r>
              <w:rPr>
                <w:rFonts w:hint="eastAsia" w:ascii="仿宋" w:hAnsi="仿宋" w:eastAsia="仿宋" w:cs="仿宋"/>
                <w:b/>
                <w:sz w:val="18"/>
              </w:rPr>
              <w:t>수렴 안정성(표준편차)</w:t>
            </w:r>
          </w:p>
        </w:tc>
      </w:tr>
      <w:tr w14:paraId="0BF8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90DC56">
            <w:pPr>
              <w:rPr>
                <w:rFonts w:hint="eastAsia" w:ascii="仿宋" w:hAnsi="仿宋" w:eastAsia="仿宋" w:cs="仿宋"/>
              </w:rPr>
            </w:pPr>
            <w:r>
              <w:rPr>
                <w:rFonts w:hint="eastAsia" w:ascii="仿宋" w:hAnsi="仿宋" w:eastAsia="仿宋" w:cs="仿宋"/>
                <w:sz w:val="18"/>
              </w:rPr>
              <w:t>연평균</w:t>
            </w:r>
          </w:p>
        </w:tc>
        <w:tc>
          <w:tcPr>
            <w:tcW w:w="1728" w:type="dxa"/>
          </w:tcPr>
          <w:p w14:paraId="242A399B">
            <w:pPr>
              <w:rPr>
                <w:rFonts w:hint="eastAsia" w:ascii="仿宋" w:hAnsi="仿宋" w:eastAsia="仿宋" w:cs="仿宋"/>
              </w:rPr>
            </w:pPr>
            <w:r>
              <w:rPr>
                <w:rFonts w:hint="eastAsia" w:ascii="仿宋" w:hAnsi="仿宋" w:eastAsia="仿宋" w:cs="仿宋"/>
                <w:sz w:val="18"/>
              </w:rPr>
              <w:t>78.42 +/- 0.83</w:t>
            </w:r>
          </w:p>
        </w:tc>
        <w:tc>
          <w:tcPr>
            <w:tcW w:w="1728" w:type="dxa"/>
          </w:tcPr>
          <w:p w14:paraId="37C52AD8">
            <w:pPr>
              <w:rPr>
                <w:rFonts w:hint="eastAsia" w:ascii="仿宋" w:hAnsi="仿宋" w:eastAsia="仿宋" w:cs="仿宋"/>
              </w:rPr>
            </w:pPr>
            <w:r>
              <w:rPr>
                <w:rFonts w:hint="eastAsia" w:ascii="仿宋" w:hAnsi="仿宋" w:eastAsia="仿宋" w:cs="仿宋"/>
                <w:sz w:val="18"/>
              </w:rPr>
              <w:t>187</w:t>
            </w:r>
          </w:p>
        </w:tc>
        <w:tc>
          <w:tcPr>
            <w:tcW w:w="1728" w:type="dxa"/>
          </w:tcPr>
          <w:p w14:paraId="4255238A">
            <w:pPr>
              <w:rPr>
                <w:rFonts w:hint="eastAsia" w:ascii="仿宋" w:hAnsi="仿宋" w:eastAsia="仿宋" w:cs="仿宋"/>
              </w:rPr>
            </w:pPr>
            <w:r>
              <w:rPr>
                <w:rFonts w:hint="eastAsia" w:ascii="仿宋" w:hAnsi="仿宋" w:eastAsia="仿宋" w:cs="仿宋"/>
                <w:sz w:val="18"/>
              </w:rPr>
              <w:t>44.6</w:t>
            </w:r>
          </w:p>
        </w:tc>
        <w:tc>
          <w:tcPr>
            <w:tcW w:w="1728" w:type="dxa"/>
          </w:tcPr>
          <w:p w14:paraId="3D25D6D0">
            <w:pPr>
              <w:rPr>
                <w:rFonts w:hint="eastAsia" w:ascii="仿宋" w:hAnsi="仿宋" w:eastAsia="仿宋" w:cs="仿宋"/>
              </w:rPr>
            </w:pPr>
            <w:r>
              <w:rPr>
                <w:rFonts w:hint="eastAsia" w:ascii="仿宋" w:hAnsi="仿宋" w:eastAsia="仿宋" w:cs="仿宋"/>
                <w:sz w:val="18"/>
              </w:rPr>
              <w:t>+/-2.14</w:t>
            </w:r>
          </w:p>
        </w:tc>
      </w:tr>
      <w:tr w14:paraId="50716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729E16">
            <w:pPr>
              <w:rPr>
                <w:rFonts w:hint="eastAsia" w:ascii="仿宋" w:hAnsi="仿宋" w:eastAsia="仿宋" w:cs="仿宋"/>
              </w:rPr>
            </w:pPr>
            <w:r>
              <w:rPr>
                <w:rFonts w:hint="eastAsia" w:ascii="仿宋" w:hAnsi="仿宋" w:eastAsia="仿宋" w:cs="仿宋"/>
                <w:sz w:val="18"/>
              </w:rPr>
              <w:t>페드프록스</w:t>
            </w:r>
          </w:p>
        </w:tc>
        <w:tc>
          <w:tcPr>
            <w:tcW w:w="1728" w:type="dxa"/>
          </w:tcPr>
          <w:p w14:paraId="2136BBFB">
            <w:pPr>
              <w:rPr>
                <w:rFonts w:hint="eastAsia" w:ascii="仿宋" w:hAnsi="仿宋" w:eastAsia="仿宋" w:cs="仿宋"/>
              </w:rPr>
            </w:pPr>
            <w:r>
              <w:rPr>
                <w:rFonts w:hint="eastAsia" w:ascii="仿宋" w:hAnsi="仿宋" w:eastAsia="仿宋" w:cs="仿宋"/>
                <w:sz w:val="18"/>
              </w:rPr>
              <w:t>79.81 +/- 0.65</w:t>
            </w:r>
          </w:p>
        </w:tc>
        <w:tc>
          <w:tcPr>
            <w:tcW w:w="1728" w:type="dxa"/>
          </w:tcPr>
          <w:p w14:paraId="2483D1F7">
            <w:pPr>
              <w:rPr>
                <w:rFonts w:hint="eastAsia" w:ascii="仿宋" w:hAnsi="仿宋" w:eastAsia="仿宋" w:cs="仿宋"/>
              </w:rPr>
            </w:pPr>
            <w:r>
              <w:rPr>
                <w:rFonts w:hint="eastAsia" w:ascii="仿宋" w:hAnsi="仿宋" w:eastAsia="仿宋" w:cs="仿宋"/>
                <w:sz w:val="18"/>
              </w:rPr>
              <w:t>174</w:t>
            </w:r>
          </w:p>
        </w:tc>
        <w:tc>
          <w:tcPr>
            <w:tcW w:w="1728" w:type="dxa"/>
          </w:tcPr>
          <w:p w14:paraId="35CB3825">
            <w:pPr>
              <w:rPr>
                <w:rFonts w:hint="eastAsia" w:ascii="仿宋" w:hAnsi="仿宋" w:eastAsia="仿宋" w:cs="仿宋"/>
              </w:rPr>
            </w:pPr>
            <w:r>
              <w:rPr>
                <w:rFonts w:hint="eastAsia" w:ascii="仿宋" w:hAnsi="仿宋" w:eastAsia="仿宋" w:cs="仿宋"/>
                <w:sz w:val="18"/>
              </w:rPr>
              <w:t>44.6</w:t>
            </w:r>
          </w:p>
        </w:tc>
        <w:tc>
          <w:tcPr>
            <w:tcW w:w="1728" w:type="dxa"/>
          </w:tcPr>
          <w:p w14:paraId="4C4C1358">
            <w:pPr>
              <w:rPr>
                <w:rFonts w:hint="eastAsia" w:ascii="仿宋" w:hAnsi="仿宋" w:eastAsia="仿宋" w:cs="仿宋"/>
              </w:rPr>
            </w:pPr>
            <w:r>
              <w:rPr>
                <w:rFonts w:hint="eastAsia" w:ascii="仿宋" w:hAnsi="仿宋" w:eastAsia="仿宋" w:cs="仿宋"/>
                <w:sz w:val="18"/>
              </w:rPr>
              <w:t>+/-1.78</w:t>
            </w:r>
          </w:p>
        </w:tc>
      </w:tr>
      <w:tr w14:paraId="4F6D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EA1F614">
            <w:pPr>
              <w:rPr>
                <w:rFonts w:hint="eastAsia" w:ascii="仿宋" w:hAnsi="仿宋" w:eastAsia="仿宋" w:cs="仿宋"/>
              </w:rPr>
            </w:pPr>
            <w:r>
              <w:rPr>
                <w:rFonts w:hint="eastAsia" w:ascii="仿宋" w:hAnsi="仿宋" w:eastAsia="仿宋" w:cs="仿宋"/>
                <w:sz w:val="18"/>
              </w:rPr>
              <w:t>발판</w:t>
            </w:r>
          </w:p>
        </w:tc>
        <w:tc>
          <w:tcPr>
            <w:tcW w:w="1728" w:type="dxa"/>
          </w:tcPr>
          <w:p w14:paraId="1A06778A">
            <w:pPr>
              <w:rPr>
                <w:rFonts w:hint="eastAsia" w:ascii="仿宋" w:hAnsi="仿宋" w:eastAsia="仿宋" w:cs="仿宋"/>
              </w:rPr>
            </w:pPr>
            <w:r>
              <w:rPr>
                <w:rFonts w:hint="eastAsia" w:ascii="仿宋" w:hAnsi="仿宋" w:eastAsia="仿宋" w:cs="仿宋"/>
                <w:sz w:val="18"/>
              </w:rPr>
              <w:t>80.33 +/- 0.52</w:t>
            </w:r>
          </w:p>
        </w:tc>
        <w:tc>
          <w:tcPr>
            <w:tcW w:w="1728" w:type="dxa"/>
          </w:tcPr>
          <w:p w14:paraId="598731F9">
            <w:pPr>
              <w:rPr>
                <w:rFonts w:hint="eastAsia" w:ascii="仿宋" w:hAnsi="仿宋" w:eastAsia="仿宋" w:cs="仿宋"/>
              </w:rPr>
            </w:pPr>
            <w:r>
              <w:rPr>
                <w:rFonts w:hint="eastAsia" w:ascii="仿宋" w:hAnsi="仿宋" w:eastAsia="仿宋" w:cs="仿宋"/>
                <w:sz w:val="18"/>
              </w:rPr>
              <w:t>165</w:t>
            </w:r>
          </w:p>
        </w:tc>
        <w:tc>
          <w:tcPr>
            <w:tcW w:w="1728" w:type="dxa"/>
          </w:tcPr>
          <w:p w14:paraId="4AC775C9">
            <w:pPr>
              <w:rPr>
                <w:rFonts w:hint="eastAsia" w:ascii="仿宋" w:hAnsi="仿宋" w:eastAsia="仿宋" w:cs="仿宋"/>
              </w:rPr>
            </w:pPr>
            <w:r>
              <w:rPr>
                <w:rFonts w:hint="eastAsia" w:ascii="仿宋" w:hAnsi="仿宋" w:eastAsia="仿宋" w:cs="仿宋"/>
                <w:sz w:val="18"/>
              </w:rPr>
              <w:t>89.2</w:t>
            </w:r>
          </w:p>
        </w:tc>
        <w:tc>
          <w:tcPr>
            <w:tcW w:w="1728" w:type="dxa"/>
          </w:tcPr>
          <w:p w14:paraId="275364CE">
            <w:pPr>
              <w:rPr>
                <w:rFonts w:hint="eastAsia" w:ascii="仿宋" w:hAnsi="仿宋" w:eastAsia="仿宋" w:cs="仿宋"/>
              </w:rPr>
            </w:pPr>
            <w:r>
              <w:rPr>
                <w:rFonts w:hint="eastAsia" w:ascii="仿宋" w:hAnsi="仿宋" w:eastAsia="仿宋" w:cs="仿宋"/>
                <w:sz w:val="18"/>
              </w:rPr>
              <w:t>+/-1.42</w:t>
            </w:r>
          </w:p>
        </w:tc>
      </w:tr>
      <w:tr w14:paraId="0688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1413DA">
            <w:pPr>
              <w:rPr>
                <w:rFonts w:hint="eastAsia" w:ascii="仿宋" w:hAnsi="仿宋" w:eastAsia="仿宋" w:cs="仿宋"/>
              </w:rPr>
            </w:pPr>
            <w:r>
              <w:rPr>
                <w:rFonts w:hint="eastAsia" w:ascii="仿宋" w:hAnsi="仿宋" w:eastAsia="仿宋" w:cs="仿宋"/>
                <w:sz w:val="18"/>
              </w:rPr>
              <w:t>페드노바</w:t>
            </w:r>
          </w:p>
        </w:tc>
        <w:tc>
          <w:tcPr>
            <w:tcW w:w="1728" w:type="dxa"/>
          </w:tcPr>
          <w:p w14:paraId="36482C4C">
            <w:pPr>
              <w:rPr>
                <w:rFonts w:hint="eastAsia" w:ascii="仿宋" w:hAnsi="仿宋" w:eastAsia="仿宋" w:cs="仿宋"/>
              </w:rPr>
            </w:pPr>
            <w:r>
              <w:rPr>
                <w:rFonts w:hint="eastAsia" w:ascii="仿宋" w:hAnsi="仿宋" w:eastAsia="仿宋" w:cs="仿宋"/>
                <w:sz w:val="18"/>
              </w:rPr>
              <w:t>80.16 +/- 0.71</w:t>
            </w:r>
          </w:p>
        </w:tc>
        <w:tc>
          <w:tcPr>
            <w:tcW w:w="1728" w:type="dxa"/>
          </w:tcPr>
          <w:p w14:paraId="5D456BFD">
            <w:pPr>
              <w:rPr>
                <w:rFonts w:hint="eastAsia" w:ascii="仿宋" w:hAnsi="仿宋" w:eastAsia="仿宋" w:cs="仿宋"/>
              </w:rPr>
            </w:pPr>
            <w:r>
              <w:rPr>
                <w:rFonts w:hint="eastAsia" w:ascii="仿宋" w:hAnsi="仿宋" w:eastAsia="仿宋" w:cs="仿宋"/>
                <w:sz w:val="18"/>
              </w:rPr>
              <w:t>170</w:t>
            </w:r>
          </w:p>
        </w:tc>
        <w:tc>
          <w:tcPr>
            <w:tcW w:w="1728" w:type="dxa"/>
          </w:tcPr>
          <w:p w14:paraId="539E0E14">
            <w:pPr>
              <w:rPr>
                <w:rFonts w:hint="eastAsia" w:ascii="仿宋" w:hAnsi="仿宋" w:eastAsia="仿宋" w:cs="仿宋"/>
              </w:rPr>
            </w:pPr>
            <w:r>
              <w:rPr>
                <w:rFonts w:hint="eastAsia" w:ascii="仿宋" w:hAnsi="仿宋" w:eastAsia="仿宋" w:cs="仿宋"/>
                <w:sz w:val="18"/>
              </w:rPr>
              <w:t>44.6</w:t>
            </w:r>
          </w:p>
        </w:tc>
        <w:tc>
          <w:tcPr>
            <w:tcW w:w="1728" w:type="dxa"/>
          </w:tcPr>
          <w:p w14:paraId="6603CF4A">
            <w:pPr>
              <w:rPr>
                <w:rFonts w:hint="eastAsia" w:ascii="仿宋" w:hAnsi="仿宋" w:eastAsia="仿宋" w:cs="仿宋"/>
              </w:rPr>
            </w:pPr>
            <w:r>
              <w:rPr>
                <w:rFonts w:hint="eastAsia" w:ascii="仿宋" w:hAnsi="仿宋" w:eastAsia="仿宋" w:cs="仿宋"/>
                <w:sz w:val="18"/>
              </w:rPr>
              <w:t>+/-1.95</w:t>
            </w:r>
          </w:p>
        </w:tc>
      </w:tr>
      <w:tr w14:paraId="2AE8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644981">
            <w:pPr>
              <w:rPr>
                <w:rFonts w:hint="eastAsia" w:ascii="仿宋" w:hAnsi="仿宋" w:eastAsia="仿宋" w:cs="仿宋"/>
              </w:rPr>
            </w:pPr>
            <w:r>
              <w:rPr>
                <w:rFonts w:hint="eastAsia" w:ascii="仿宋" w:hAnsi="仿宋" w:eastAsia="仿宋" w:cs="仿宋"/>
                <w:sz w:val="18"/>
              </w:rPr>
              <w:t>본 논문에서 제안하는 방법</w:t>
            </w:r>
          </w:p>
        </w:tc>
        <w:tc>
          <w:tcPr>
            <w:tcW w:w="1728" w:type="dxa"/>
          </w:tcPr>
          <w:p w14:paraId="35BFD29E">
            <w:pPr>
              <w:rPr>
                <w:rFonts w:hint="eastAsia" w:ascii="仿宋" w:hAnsi="仿宋" w:eastAsia="仿宋" w:cs="仿宋"/>
              </w:rPr>
            </w:pPr>
            <w:r>
              <w:rPr>
                <w:rFonts w:hint="eastAsia" w:ascii="仿宋" w:hAnsi="仿宋" w:eastAsia="仿宋" w:cs="仿宋"/>
                <w:sz w:val="18"/>
              </w:rPr>
              <w:t>81.59 +/- 0.48</w:t>
            </w:r>
          </w:p>
        </w:tc>
        <w:tc>
          <w:tcPr>
            <w:tcW w:w="1728" w:type="dxa"/>
          </w:tcPr>
          <w:p w14:paraId="0A54EEF2">
            <w:pPr>
              <w:rPr>
                <w:rFonts w:hint="eastAsia" w:ascii="仿宋" w:hAnsi="仿宋" w:eastAsia="仿宋" w:cs="仿宋"/>
              </w:rPr>
            </w:pPr>
            <w:r>
              <w:rPr>
                <w:rFonts w:hint="eastAsia" w:ascii="仿宋" w:hAnsi="仿宋" w:eastAsia="仿宋" w:cs="仿宋"/>
                <w:sz w:val="18"/>
              </w:rPr>
              <w:t>152</w:t>
            </w:r>
          </w:p>
        </w:tc>
        <w:tc>
          <w:tcPr>
            <w:tcW w:w="1728" w:type="dxa"/>
          </w:tcPr>
          <w:p w14:paraId="5039D0C1">
            <w:pPr>
              <w:rPr>
                <w:rFonts w:hint="eastAsia" w:ascii="仿宋" w:hAnsi="仿宋" w:eastAsia="仿宋" w:cs="仿宋"/>
              </w:rPr>
            </w:pPr>
            <w:r>
              <w:rPr>
                <w:rFonts w:hint="eastAsia" w:ascii="仿宋" w:hAnsi="仿宋" w:eastAsia="仿宋" w:cs="仿宋"/>
                <w:sz w:val="18"/>
              </w:rPr>
              <w:t>52.3</w:t>
            </w:r>
          </w:p>
        </w:tc>
        <w:tc>
          <w:tcPr>
            <w:tcW w:w="1728" w:type="dxa"/>
          </w:tcPr>
          <w:p w14:paraId="3899E39A">
            <w:pPr>
              <w:rPr>
                <w:rFonts w:hint="eastAsia" w:ascii="仿宋" w:hAnsi="仿宋" w:eastAsia="仿宋" w:cs="仿宋"/>
              </w:rPr>
            </w:pPr>
            <w:r>
              <w:rPr>
                <w:rFonts w:hint="eastAsia" w:ascii="仿宋" w:hAnsi="仿宋" w:eastAsia="仿宋" w:cs="仿宋"/>
                <w:sz w:val="18"/>
              </w:rPr>
              <w:t>+/-1.21</w:t>
            </w:r>
          </w:p>
        </w:tc>
      </w:tr>
    </w:tbl>
    <w:p w14:paraId="2B38E314">
      <w:pPr>
        <w:rPr>
          <w:rFonts w:hint="eastAsia" w:ascii="仿宋" w:hAnsi="仿宋" w:eastAsia="仿宋" w:cs="仿宋"/>
        </w:rPr>
      </w:pPr>
    </w:p>
    <w:p w14:paraId="167043F2">
      <w:pPr>
        <w:rPr>
          <w:rFonts w:hint="eastAsia" w:ascii="仿宋" w:hAnsi="仿宋" w:eastAsia="仿宋" w:cs="仿宋"/>
        </w:rPr>
      </w:pPr>
      <w:r>
        <w:rPr>
          <w:rFonts w:hint="eastAsia" w:ascii="仿宋" w:hAnsi="仿宋" w:eastAsia="仿宋" w:cs="仿宋"/>
        </w:rPr>
        <w:t>표 5.3 연합 학습 성능 비교 (CIFAR-10, 비독립분포 알파=0.1, 노드 100개)</w:t>
      </w:r>
    </w:p>
    <w:p w14:paraId="4F5776F2">
      <w:pPr>
        <w:rPr>
          <w:rFonts w:hint="eastAsia" w:ascii="仿宋" w:hAnsi="仿宋" w:eastAsia="仿宋" w:cs="仿宋"/>
        </w:rPr>
      </w:pPr>
      <w:r>
        <w:rPr>
          <w:rFonts w:hint="eastAsia" w:ascii="仿宋" w:hAnsi="仿宋" w:eastAsia="仿宋" w:cs="仿宋"/>
        </w:rPr>
        <w:t>[분석] 제안된 방법은 81.59%의 최고 정확도를 달성하여 FedAvg 기준선 대비 3.17% 포인트 향상되었습니다(p&lt;0.01, 대응표본 t-검정). 수렴 효율 측면에서, 목표 정확도 75%에 도달하는 데 단 152라운드만 소요되어 FedAvg 대비 18.7% 감소했습니다. SCAFFOLD도 80.33%의 양호한 정확도를 달성했지만, 제어 변수 매개변수의 추가 전송으로 인해 통신 오버헤드(라운드당 89.2MB)가 제안된 방법보다 약 1.7배 높았습니다. 제안된 방법은 데이터 분포를 고려한 가중치 조정 메커니즘을 통해 비독립동일분포(Non-IID) 클라이언트 드리프트를 효과적으로 억제함으로써 통신 효율과 모델 정확도 간의 최적의 균형을 달성했습니다.</w:t>
      </w:r>
    </w:p>
    <w:p w14:paraId="68B88F91">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6400" cy="3429000"/>
            <wp:effectExtent l="0" t="0" r="0" b="0"/>
            <wp:docPr id="15" name="图片 15" descr="translated_image_k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ranslated_image_ko (3)"/>
                    <pic:cNvPicPr>
                      <a:picLocks noChangeAspect="1"/>
                    </pic:cNvPicPr>
                  </pic:nvPicPr>
                  <pic:blipFill>
                    <a:blip r:embed="rId9"/>
                    <a:stretch>
                      <a:fillRect/>
                    </a:stretch>
                  </pic:blipFill>
                  <pic:spPr>
                    <a:xfrm>
                      <a:off x="0" y="0"/>
                      <a:ext cx="5486400" cy="3429000"/>
                    </a:xfrm>
                    <a:prstGeom prst="rect">
                      <a:avLst/>
                    </a:prstGeom>
                  </pic:spPr>
                </pic:pic>
              </a:graphicData>
            </a:graphic>
          </wp:inline>
        </w:drawing>
      </w:r>
    </w:p>
    <w:p w14:paraId="3877E972">
      <w:pPr>
        <w:jc w:val="center"/>
        <w:rPr>
          <w:rFonts w:hint="eastAsia" w:ascii="仿宋" w:hAnsi="仿宋" w:eastAsia="仿宋" w:cs="仿宋"/>
        </w:rPr>
      </w:pPr>
      <w:r>
        <w:rPr>
          <w:rFonts w:hint="eastAsia" w:ascii="仿宋" w:hAnsi="仿宋" w:eastAsia="仿宋" w:cs="仿宋"/>
          <w:i/>
          <w:sz w:val="18"/>
        </w:rPr>
        <w:t>그림 5.1 연합 학습 성능 비교 (CIFAR-10, 비독립동일분포 알파=0.1, 노드 100개)</w:t>
      </w:r>
    </w:p>
    <w:p w14:paraId="22ABE300">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6400" cy="3429000"/>
            <wp:effectExtent l="0" t="0" r="0" b="0"/>
            <wp:docPr id="16" name="图片 16" descr="translated_image_k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ranslated_image_ko (4)"/>
                    <pic:cNvPicPr>
                      <a:picLocks noChangeAspect="1"/>
                    </pic:cNvPicPr>
                  </pic:nvPicPr>
                  <pic:blipFill>
                    <a:blip r:embed="rId10"/>
                    <a:stretch>
                      <a:fillRect/>
                    </a:stretch>
                  </pic:blipFill>
                  <pic:spPr>
                    <a:xfrm>
                      <a:off x="0" y="0"/>
                      <a:ext cx="5486400" cy="3429000"/>
                    </a:xfrm>
                    <a:prstGeom prst="rect">
                      <a:avLst/>
                    </a:prstGeom>
                  </pic:spPr>
                </pic:pic>
              </a:graphicData>
            </a:graphic>
          </wp:inline>
        </w:drawing>
      </w:r>
    </w:p>
    <w:p w14:paraId="15E1D9DC">
      <w:pPr>
        <w:jc w:val="center"/>
        <w:rPr>
          <w:rFonts w:hint="eastAsia" w:ascii="仿宋" w:hAnsi="仿宋" w:eastAsia="仿宋" w:cs="仿宋"/>
        </w:rPr>
      </w:pPr>
      <w:r>
        <w:rPr>
          <w:rFonts w:hint="eastAsia" w:ascii="仿宋" w:hAnsi="仿宋" w:eastAsia="仿宋" w:cs="仿宋"/>
          <w:i/>
          <w:sz w:val="18"/>
        </w:rPr>
        <w:t>그림 5.2 훈련 수렴 곡선 비교 (CIFAR-10, 100개 노드)</w:t>
      </w:r>
    </w:p>
    <w:p w14:paraId="0FA59014">
      <w:pPr>
        <w:pStyle w:val="5"/>
        <w:rPr>
          <w:rFonts w:hint="eastAsia" w:ascii="仿宋" w:hAnsi="仿宋" w:eastAsia="仿宋" w:cs="仿宋"/>
        </w:rPr>
      </w:pPr>
      <w:bookmarkStart w:id="54" w:name="_Toc9179"/>
      <w:r>
        <w:rPr>
          <w:rFonts w:hint="eastAsia" w:ascii="仿宋" w:hAnsi="仿宋" w:eastAsia="仿宋" w:cs="仿宋"/>
        </w:rPr>
        <w:t>5.2.3 데이터셋 간 일반화 성능</w:t>
      </w:r>
      <w:bookmarkEnd w:id="54"/>
    </w:p>
    <w:p w14:paraId="78B01657">
      <w:pPr>
        <w:rPr>
          <w:rFonts w:hint="eastAsia" w:ascii="仿宋" w:hAnsi="仿宋" w:eastAsia="仿宋" w:cs="仿宋"/>
        </w:rPr>
      </w:pPr>
      <w:r>
        <w:rPr>
          <w:rFonts w:hint="eastAsia" w:ascii="仿宋" w:hAnsi="仿宋" w:eastAsia="仿宋" w:cs="仿宋"/>
        </w:rPr>
        <w:t>표 5.4와 그림 5.3은 서로 다른 복잡성을 가진 네 가지 데이터셋에 대한 제안된 방법의 일반화 성능을 보여줍니다.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00AD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3AE529B">
            <w:pPr>
              <w:rPr>
                <w:rFonts w:hint="eastAsia" w:ascii="仿宋" w:hAnsi="仿宋" w:eastAsia="仿宋" w:cs="仿宋"/>
              </w:rPr>
            </w:pPr>
            <w:r>
              <w:rPr>
                <w:rFonts w:hint="eastAsia" w:ascii="仿宋" w:hAnsi="仿宋" w:eastAsia="仿宋" w:cs="仿宋"/>
                <w:b/>
                <w:sz w:val="18"/>
              </w:rPr>
              <w:t>데이터셋</w:t>
            </w:r>
          </w:p>
        </w:tc>
        <w:tc>
          <w:tcPr>
            <w:tcW w:w="1440" w:type="dxa"/>
          </w:tcPr>
          <w:p w14:paraId="67D48DF0">
            <w:pPr>
              <w:rPr>
                <w:rFonts w:hint="eastAsia" w:ascii="仿宋" w:hAnsi="仿宋" w:eastAsia="仿宋" w:cs="仿宋"/>
              </w:rPr>
            </w:pPr>
            <w:r>
              <w:rPr>
                <w:rFonts w:hint="eastAsia" w:ascii="仿宋" w:hAnsi="仿宋" w:eastAsia="仿宋" w:cs="仿宋"/>
                <w:b/>
                <w:sz w:val="18"/>
              </w:rPr>
              <w:t>연평균</w:t>
            </w:r>
          </w:p>
        </w:tc>
        <w:tc>
          <w:tcPr>
            <w:tcW w:w="1440" w:type="dxa"/>
          </w:tcPr>
          <w:p w14:paraId="2CC0A8DF">
            <w:pPr>
              <w:rPr>
                <w:rFonts w:hint="eastAsia" w:ascii="仿宋" w:hAnsi="仿宋" w:eastAsia="仿宋" w:cs="仿宋"/>
              </w:rPr>
            </w:pPr>
            <w:r>
              <w:rPr>
                <w:rFonts w:hint="eastAsia" w:ascii="仿宋" w:hAnsi="仿宋" w:eastAsia="仿宋" w:cs="仿宋"/>
                <w:b/>
                <w:sz w:val="18"/>
              </w:rPr>
              <w:t>페드프록스</w:t>
            </w:r>
          </w:p>
        </w:tc>
        <w:tc>
          <w:tcPr>
            <w:tcW w:w="1440" w:type="dxa"/>
          </w:tcPr>
          <w:p w14:paraId="35895BAA">
            <w:pPr>
              <w:rPr>
                <w:rFonts w:hint="eastAsia" w:ascii="仿宋" w:hAnsi="仿宋" w:eastAsia="仿宋" w:cs="仿宋"/>
              </w:rPr>
            </w:pPr>
            <w:r>
              <w:rPr>
                <w:rFonts w:hint="eastAsia" w:ascii="仿宋" w:hAnsi="仿宋" w:eastAsia="仿宋" w:cs="仿宋"/>
                <w:b/>
                <w:sz w:val="18"/>
              </w:rPr>
              <w:t>발판</w:t>
            </w:r>
          </w:p>
        </w:tc>
        <w:tc>
          <w:tcPr>
            <w:tcW w:w="1440" w:type="dxa"/>
          </w:tcPr>
          <w:p w14:paraId="0A1AB80F">
            <w:pPr>
              <w:rPr>
                <w:rFonts w:hint="eastAsia" w:ascii="仿宋" w:hAnsi="仿宋" w:eastAsia="仿宋" w:cs="仿宋"/>
              </w:rPr>
            </w:pPr>
            <w:r>
              <w:rPr>
                <w:rFonts w:hint="eastAsia" w:ascii="仿宋" w:hAnsi="仿宋" w:eastAsia="仿宋" w:cs="仿宋"/>
                <w:b/>
                <w:sz w:val="18"/>
              </w:rPr>
              <w:t>제안된 방법</w:t>
            </w:r>
          </w:p>
        </w:tc>
        <w:tc>
          <w:tcPr>
            <w:tcW w:w="1440" w:type="dxa"/>
          </w:tcPr>
          <w:p w14:paraId="150AA60C">
            <w:pPr>
              <w:rPr>
                <w:rFonts w:hint="eastAsia" w:ascii="仿宋" w:hAnsi="仿宋" w:eastAsia="仿宋" w:cs="仿宋"/>
              </w:rPr>
            </w:pPr>
            <w:r>
              <w:rPr>
                <w:rFonts w:hint="eastAsia" w:ascii="仿宋" w:hAnsi="仿宋" w:eastAsia="仿宋" w:cs="仿宋"/>
                <w:b/>
                <w:sz w:val="18"/>
              </w:rPr>
              <w:t>개선 (연준 평균 대비)</w:t>
            </w:r>
          </w:p>
        </w:tc>
      </w:tr>
      <w:tr w14:paraId="790C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9BFCA4">
            <w:pPr>
              <w:rPr>
                <w:rFonts w:hint="eastAsia" w:ascii="仿宋" w:hAnsi="仿宋" w:eastAsia="仿宋" w:cs="仿宋"/>
              </w:rPr>
            </w:pPr>
            <w:r>
              <w:rPr>
                <w:rFonts w:hint="eastAsia" w:ascii="仿宋" w:hAnsi="仿宋" w:eastAsia="仿宋" w:cs="仿宋"/>
                <w:sz w:val="18"/>
              </w:rPr>
              <w:t>MNIST</w:t>
            </w:r>
          </w:p>
        </w:tc>
        <w:tc>
          <w:tcPr>
            <w:tcW w:w="1440" w:type="dxa"/>
          </w:tcPr>
          <w:p w14:paraId="15289881">
            <w:pPr>
              <w:rPr>
                <w:rFonts w:hint="eastAsia" w:ascii="仿宋" w:hAnsi="仿宋" w:eastAsia="仿宋" w:cs="仿宋"/>
              </w:rPr>
            </w:pPr>
            <w:r>
              <w:rPr>
                <w:rFonts w:hint="eastAsia" w:ascii="仿宋" w:hAnsi="仿宋" w:eastAsia="仿宋" w:cs="仿宋"/>
                <w:sz w:val="18"/>
              </w:rPr>
              <w:t>97.89%</w:t>
            </w:r>
          </w:p>
        </w:tc>
        <w:tc>
          <w:tcPr>
            <w:tcW w:w="1440" w:type="dxa"/>
          </w:tcPr>
          <w:p w14:paraId="7DEE96D3">
            <w:pPr>
              <w:rPr>
                <w:rFonts w:hint="eastAsia" w:ascii="仿宋" w:hAnsi="仿宋" w:eastAsia="仿宋" w:cs="仿宋"/>
              </w:rPr>
            </w:pPr>
            <w:r>
              <w:rPr>
                <w:rFonts w:hint="eastAsia" w:ascii="仿宋" w:hAnsi="仿宋" w:eastAsia="仿宋" w:cs="仿宋"/>
                <w:sz w:val="18"/>
              </w:rPr>
              <w:t>98.12%</w:t>
            </w:r>
          </w:p>
        </w:tc>
        <w:tc>
          <w:tcPr>
            <w:tcW w:w="1440" w:type="dxa"/>
          </w:tcPr>
          <w:p w14:paraId="6FE347E9">
            <w:pPr>
              <w:rPr>
                <w:rFonts w:hint="eastAsia" w:ascii="仿宋" w:hAnsi="仿宋" w:eastAsia="仿宋" w:cs="仿宋"/>
              </w:rPr>
            </w:pPr>
            <w:r>
              <w:rPr>
                <w:rFonts w:hint="eastAsia" w:ascii="仿宋" w:hAnsi="仿宋" w:eastAsia="仿宋" w:cs="仿宋"/>
                <w:sz w:val="18"/>
              </w:rPr>
              <w:t>98.04%</w:t>
            </w:r>
          </w:p>
        </w:tc>
        <w:tc>
          <w:tcPr>
            <w:tcW w:w="1440" w:type="dxa"/>
          </w:tcPr>
          <w:p w14:paraId="3767DB35">
            <w:pPr>
              <w:rPr>
                <w:rFonts w:hint="eastAsia" w:ascii="仿宋" w:hAnsi="仿宋" w:eastAsia="仿宋" w:cs="仿宋"/>
              </w:rPr>
            </w:pPr>
            <w:r>
              <w:rPr>
                <w:rFonts w:hint="eastAsia" w:ascii="仿宋" w:hAnsi="仿宋" w:eastAsia="仿宋" w:cs="仿宋"/>
                <w:sz w:val="18"/>
              </w:rPr>
              <w:t>98.35%</w:t>
            </w:r>
          </w:p>
        </w:tc>
        <w:tc>
          <w:tcPr>
            <w:tcW w:w="1440" w:type="dxa"/>
          </w:tcPr>
          <w:p w14:paraId="0C451429">
            <w:pPr>
              <w:rPr>
                <w:rFonts w:hint="eastAsia" w:ascii="仿宋" w:hAnsi="仿宋" w:eastAsia="仿宋" w:cs="仿宋"/>
              </w:rPr>
            </w:pPr>
            <w:r>
              <w:rPr>
                <w:rFonts w:hint="eastAsia" w:ascii="仿宋" w:hAnsi="仿宋" w:eastAsia="仿宋" w:cs="仿宋"/>
                <w:sz w:val="18"/>
              </w:rPr>
              <w:t>+0.46pp</w:t>
            </w:r>
          </w:p>
        </w:tc>
      </w:tr>
      <w:tr w14:paraId="0A55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E222FF1">
            <w:pPr>
              <w:rPr>
                <w:rFonts w:hint="eastAsia" w:ascii="仿宋" w:hAnsi="仿宋" w:eastAsia="仿宋" w:cs="仿宋"/>
              </w:rPr>
            </w:pPr>
            <w:r>
              <w:rPr>
                <w:rFonts w:hint="eastAsia" w:ascii="仿宋" w:hAnsi="仿宋" w:eastAsia="仿宋" w:cs="仿宋"/>
                <w:sz w:val="18"/>
              </w:rPr>
              <w:t>패션-MNIST</w:t>
            </w:r>
          </w:p>
        </w:tc>
        <w:tc>
          <w:tcPr>
            <w:tcW w:w="1440" w:type="dxa"/>
          </w:tcPr>
          <w:p w14:paraId="713CFC67">
            <w:pPr>
              <w:rPr>
                <w:rFonts w:hint="eastAsia" w:ascii="仿宋" w:hAnsi="仿宋" w:eastAsia="仿宋" w:cs="仿宋"/>
              </w:rPr>
            </w:pPr>
            <w:r>
              <w:rPr>
                <w:rFonts w:hint="eastAsia" w:ascii="仿宋" w:hAnsi="仿宋" w:eastAsia="仿宋" w:cs="仿宋"/>
                <w:sz w:val="18"/>
              </w:rPr>
              <w:t>85.67%</w:t>
            </w:r>
          </w:p>
        </w:tc>
        <w:tc>
          <w:tcPr>
            <w:tcW w:w="1440" w:type="dxa"/>
          </w:tcPr>
          <w:p w14:paraId="23469F66">
            <w:pPr>
              <w:rPr>
                <w:rFonts w:hint="eastAsia" w:ascii="仿宋" w:hAnsi="仿宋" w:eastAsia="仿宋" w:cs="仿宋"/>
              </w:rPr>
            </w:pPr>
            <w:r>
              <w:rPr>
                <w:rFonts w:hint="eastAsia" w:ascii="仿宋" w:hAnsi="仿宋" w:eastAsia="仿宋" w:cs="仿宋"/>
                <w:sz w:val="18"/>
              </w:rPr>
              <w:t>86.23%</w:t>
            </w:r>
          </w:p>
        </w:tc>
        <w:tc>
          <w:tcPr>
            <w:tcW w:w="1440" w:type="dxa"/>
          </w:tcPr>
          <w:p w14:paraId="1C212F4F">
            <w:pPr>
              <w:rPr>
                <w:rFonts w:hint="eastAsia" w:ascii="仿宋" w:hAnsi="仿宋" w:eastAsia="仿宋" w:cs="仿宋"/>
              </w:rPr>
            </w:pPr>
            <w:r>
              <w:rPr>
                <w:rFonts w:hint="eastAsia" w:ascii="仿宋" w:hAnsi="仿宋" w:eastAsia="仿宋" w:cs="仿宋"/>
                <w:sz w:val="18"/>
              </w:rPr>
              <w:t>86.41%</w:t>
            </w:r>
          </w:p>
        </w:tc>
        <w:tc>
          <w:tcPr>
            <w:tcW w:w="1440" w:type="dxa"/>
          </w:tcPr>
          <w:p w14:paraId="7382B3E6">
            <w:pPr>
              <w:rPr>
                <w:rFonts w:hint="eastAsia" w:ascii="仿宋" w:hAnsi="仿宋" w:eastAsia="仿宋" w:cs="仿宋"/>
              </w:rPr>
            </w:pPr>
            <w:r>
              <w:rPr>
                <w:rFonts w:hint="eastAsia" w:ascii="仿宋" w:hAnsi="仿宋" w:eastAsia="仿宋" w:cs="仿宋"/>
                <w:sz w:val="18"/>
              </w:rPr>
              <w:t>87.12%</w:t>
            </w:r>
          </w:p>
        </w:tc>
        <w:tc>
          <w:tcPr>
            <w:tcW w:w="1440" w:type="dxa"/>
          </w:tcPr>
          <w:p w14:paraId="45178AE3">
            <w:pPr>
              <w:rPr>
                <w:rFonts w:hint="eastAsia" w:ascii="仿宋" w:hAnsi="仿宋" w:eastAsia="仿宋" w:cs="仿宋"/>
              </w:rPr>
            </w:pPr>
            <w:r>
              <w:rPr>
                <w:rFonts w:hint="eastAsia" w:ascii="仿宋" w:hAnsi="仿宋" w:eastAsia="仿宋" w:cs="仿宋"/>
                <w:sz w:val="18"/>
              </w:rPr>
              <w:t>+1.45pp</w:t>
            </w:r>
          </w:p>
        </w:tc>
      </w:tr>
      <w:tr w14:paraId="620B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7195721">
            <w:pPr>
              <w:rPr>
                <w:rFonts w:hint="eastAsia" w:ascii="仿宋" w:hAnsi="仿宋" w:eastAsia="仿宋" w:cs="仿宋"/>
              </w:rPr>
            </w:pPr>
            <w:r>
              <w:rPr>
                <w:rFonts w:hint="eastAsia" w:ascii="仿宋" w:hAnsi="仿宋" w:eastAsia="仿宋" w:cs="仿宋"/>
                <w:sz w:val="18"/>
              </w:rPr>
              <w:t>시파르-10</w:t>
            </w:r>
          </w:p>
        </w:tc>
        <w:tc>
          <w:tcPr>
            <w:tcW w:w="1440" w:type="dxa"/>
          </w:tcPr>
          <w:p w14:paraId="04891144">
            <w:pPr>
              <w:rPr>
                <w:rFonts w:hint="eastAsia" w:ascii="仿宋" w:hAnsi="仿宋" w:eastAsia="仿宋" w:cs="仿宋"/>
              </w:rPr>
            </w:pPr>
            <w:r>
              <w:rPr>
                <w:rFonts w:hint="eastAsia" w:ascii="仿宋" w:hAnsi="仿宋" w:eastAsia="仿宋" w:cs="仿宋"/>
                <w:sz w:val="18"/>
              </w:rPr>
              <w:t>78.42%</w:t>
            </w:r>
          </w:p>
        </w:tc>
        <w:tc>
          <w:tcPr>
            <w:tcW w:w="1440" w:type="dxa"/>
          </w:tcPr>
          <w:p w14:paraId="741504B4">
            <w:pPr>
              <w:rPr>
                <w:rFonts w:hint="eastAsia" w:ascii="仿宋" w:hAnsi="仿宋" w:eastAsia="仿宋" w:cs="仿宋"/>
              </w:rPr>
            </w:pPr>
            <w:r>
              <w:rPr>
                <w:rFonts w:hint="eastAsia" w:ascii="仿宋" w:hAnsi="仿宋" w:eastAsia="仿宋" w:cs="仿宋"/>
                <w:sz w:val="18"/>
              </w:rPr>
              <w:t>79.81%</w:t>
            </w:r>
          </w:p>
        </w:tc>
        <w:tc>
          <w:tcPr>
            <w:tcW w:w="1440" w:type="dxa"/>
          </w:tcPr>
          <w:p w14:paraId="46AF0A4B">
            <w:pPr>
              <w:rPr>
                <w:rFonts w:hint="eastAsia" w:ascii="仿宋" w:hAnsi="仿宋" w:eastAsia="仿宋" w:cs="仿宋"/>
              </w:rPr>
            </w:pPr>
            <w:r>
              <w:rPr>
                <w:rFonts w:hint="eastAsia" w:ascii="仿宋" w:hAnsi="仿宋" w:eastAsia="仿宋" w:cs="仿宋"/>
                <w:sz w:val="18"/>
              </w:rPr>
              <w:t>80.33%</w:t>
            </w:r>
          </w:p>
        </w:tc>
        <w:tc>
          <w:tcPr>
            <w:tcW w:w="1440" w:type="dxa"/>
          </w:tcPr>
          <w:p w14:paraId="12D2F5DD">
            <w:pPr>
              <w:rPr>
                <w:rFonts w:hint="eastAsia" w:ascii="仿宋" w:hAnsi="仿宋" w:eastAsia="仿宋" w:cs="仿宋"/>
              </w:rPr>
            </w:pPr>
            <w:r>
              <w:rPr>
                <w:rFonts w:hint="eastAsia" w:ascii="仿宋" w:hAnsi="仿宋" w:eastAsia="仿宋" w:cs="仿宋"/>
                <w:sz w:val="18"/>
              </w:rPr>
              <w:t>81.59%</w:t>
            </w:r>
          </w:p>
        </w:tc>
        <w:tc>
          <w:tcPr>
            <w:tcW w:w="1440" w:type="dxa"/>
          </w:tcPr>
          <w:p w14:paraId="5E1602D8">
            <w:pPr>
              <w:rPr>
                <w:rFonts w:hint="eastAsia" w:ascii="仿宋" w:hAnsi="仿宋" w:eastAsia="仿宋" w:cs="仿宋"/>
              </w:rPr>
            </w:pPr>
            <w:r>
              <w:rPr>
                <w:rFonts w:hint="eastAsia" w:ascii="仿宋" w:hAnsi="仿宋" w:eastAsia="仿宋" w:cs="仿宋"/>
                <w:sz w:val="18"/>
              </w:rPr>
              <w:t>+3.17pp</w:t>
            </w:r>
          </w:p>
        </w:tc>
      </w:tr>
      <w:tr w14:paraId="03CC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57773A6">
            <w:pPr>
              <w:rPr>
                <w:rFonts w:hint="eastAsia" w:ascii="仿宋" w:hAnsi="仿宋" w:eastAsia="仿宋" w:cs="仿宋"/>
              </w:rPr>
            </w:pPr>
            <w:r>
              <w:rPr>
                <w:rFonts w:hint="eastAsia" w:ascii="仿宋" w:hAnsi="仿宋" w:eastAsia="仿宋" w:cs="仿宋"/>
                <w:sz w:val="18"/>
              </w:rPr>
              <w:t>시파르-100</w:t>
            </w:r>
          </w:p>
        </w:tc>
        <w:tc>
          <w:tcPr>
            <w:tcW w:w="1440" w:type="dxa"/>
          </w:tcPr>
          <w:p w14:paraId="4C59A2E4">
            <w:pPr>
              <w:rPr>
                <w:rFonts w:hint="eastAsia" w:ascii="仿宋" w:hAnsi="仿宋" w:eastAsia="仿宋" w:cs="仿宋"/>
              </w:rPr>
            </w:pPr>
            <w:r>
              <w:rPr>
                <w:rFonts w:hint="eastAsia" w:ascii="仿宋" w:hAnsi="仿宋" w:eastAsia="仿宋" w:cs="仿宋"/>
                <w:sz w:val="18"/>
              </w:rPr>
              <w:t>52.18%</w:t>
            </w:r>
          </w:p>
        </w:tc>
        <w:tc>
          <w:tcPr>
            <w:tcW w:w="1440" w:type="dxa"/>
          </w:tcPr>
          <w:p w14:paraId="6AFCEA5F">
            <w:pPr>
              <w:rPr>
                <w:rFonts w:hint="eastAsia" w:ascii="仿宋" w:hAnsi="仿宋" w:eastAsia="仿宋" w:cs="仿宋"/>
              </w:rPr>
            </w:pPr>
            <w:r>
              <w:rPr>
                <w:rFonts w:hint="eastAsia" w:ascii="仿宋" w:hAnsi="仿宋" w:eastAsia="仿宋" w:cs="仿宋"/>
                <w:sz w:val="18"/>
              </w:rPr>
              <w:t>53.75%</w:t>
            </w:r>
          </w:p>
        </w:tc>
        <w:tc>
          <w:tcPr>
            <w:tcW w:w="1440" w:type="dxa"/>
          </w:tcPr>
          <w:p w14:paraId="36F3E0F6">
            <w:pPr>
              <w:rPr>
                <w:rFonts w:hint="eastAsia" w:ascii="仿宋" w:hAnsi="仿宋" w:eastAsia="仿宋" w:cs="仿宋"/>
              </w:rPr>
            </w:pPr>
            <w:r>
              <w:rPr>
                <w:rFonts w:hint="eastAsia" w:ascii="仿宋" w:hAnsi="仿宋" w:eastAsia="仿宋" w:cs="仿宋"/>
                <w:sz w:val="18"/>
              </w:rPr>
              <w:t>54.02%</w:t>
            </w:r>
          </w:p>
        </w:tc>
        <w:tc>
          <w:tcPr>
            <w:tcW w:w="1440" w:type="dxa"/>
          </w:tcPr>
          <w:p w14:paraId="05DACD96">
            <w:pPr>
              <w:rPr>
                <w:rFonts w:hint="eastAsia" w:ascii="仿宋" w:hAnsi="仿宋" w:eastAsia="仿宋" w:cs="仿宋"/>
              </w:rPr>
            </w:pPr>
            <w:r>
              <w:rPr>
                <w:rFonts w:hint="eastAsia" w:ascii="仿宋" w:hAnsi="仿宋" w:eastAsia="仿宋" w:cs="仿宋"/>
                <w:sz w:val="18"/>
              </w:rPr>
              <w:t>55.34%</w:t>
            </w:r>
          </w:p>
        </w:tc>
        <w:tc>
          <w:tcPr>
            <w:tcW w:w="1440" w:type="dxa"/>
          </w:tcPr>
          <w:p w14:paraId="77387A5F">
            <w:pPr>
              <w:rPr>
                <w:rFonts w:hint="eastAsia" w:ascii="仿宋" w:hAnsi="仿宋" w:eastAsia="仿宋" w:cs="仿宋"/>
              </w:rPr>
            </w:pPr>
            <w:r>
              <w:rPr>
                <w:rFonts w:hint="eastAsia" w:ascii="仿宋" w:hAnsi="仿宋" w:eastAsia="仿宋" w:cs="仿宋"/>
                <w:sz w:val="18"/>
              </w:rPr>
              <w:t>+3.16pp</w:t>
            </w:r>
          </w:p>
        </w:tc>
      </w:tr>
    </w:tbl>
    <w:p w14:paraId="232444CE">
      <w:pPr>
        <w:rPr>
          <w:rFonts w:hint="eastAsia" w:ascii="仿宋" w:hAnsi="仿宋" w:eastAsia="仿宋" w:cs="仿宋"/>
        </w:rPr>
      </w:pPr>
    </w:p>
    <w:p w14:paraId="51A13635">
      <w:pPr>
        <w:rPr>
          <w:rFonts w:hint="eastAsia" w:ascii="仿宋" w:hAnsi="仿宋" w:eastAsia="仿宋" w:cs="仿宋"/>
        </w:rPr>
      </w:pPr>
      <w:r>
        <w:rPr>
          <w:rFonts w:hint="eastAsia" w:ascii="仿宋" w:hAnsi="仿宋" w:eastAsia="仿宋" w:cs="仿宋"/>
        </w:rPr>
        <w:t>표 5.4 서로 다른 데이터셋의 정확도 비교 (노드 100개, 알파=0.1)</w:t>
      </w:r>
    </w:p>
    <w:p w14:paraId="6CC6D43D">
      <w:pPr>
        <w:rPr>
          <w:rFonts w:hint="eastAsia" w:ascii="仿宋" w:hAnsi="仿宋" w:eastAsia="仿宋" w:cs="仿宋"/>
        </w:rPr>
      </w:pPr>
      <w:r>
        <w:rPr>
          <w:rFonts w:hint="eastAsia" w:ascii="仿宋" w:hAnsi="仿宋" w:eastAsia="仿宋" w:cs="仿宋"/>
        </w:rPr>
        <w:t>[분석] 제안된 방법은 모든 데이터셋에서 비교 방법들보다 일관되게 우수한 성능을 보였으며, 성능 향상 폭은 데이터 복잡성이 증가함에 따라 커졌다. 단순한 MNIST 데이터셋에서는 0.46%p 향상에 그쳤지만, 매우 복잡한 CIFAR-10/100 데이터셋에서는 3%p 이상 향상되었다. 이러한 경향은 비독립동일분포(Non-IID) 데이터의 이질성이 미치는 부정적인 영향이 작업 복잡성과 양의 상관관계를 가지며, 제안된 방법의 이질성 완화 메커니즘이 복잡한 작업에서 더욱 효과적임을 시사한다.</w:t>
      </w:r>
    </w:p>
    <w:p w14:paraId="5DCB6F3C">
      <w:pPr>
        <w:jc w:val="center"/>
        <w:rPr>
          <w:rFonts w:hint="eastAsia" w:ascii="仿宋" w:hAnsi="仿宋" w:eastAsia="仿宋" w:cs="仿宋"/>
        </w:rPr>
      </w:pPr>
      <w:r>
        <w:rPr>
          <w:rFonts w:hint="eastAsia" w:ascii="仿宋" w:hAnsi="仿宋" w:eastAsia="仿宋" w:cs="仿宋"/>
        </w:rPr>
        <w:drawing>
          <wp:inline distT="0" distB="0" distL="114300" distR="114300">
            <wp:extent cx="4572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72000" cy="2857500"/>
                    </a:xfrm>
                    <a:prstGeom prst="rect">
                      <a:avLst/>
                    </a:prstGeom>
                  </pic:spPr>
                </pic:pic>
              </a:graphicData>
            </a:graphic>
          </wp:inline>
        </w:drawing>
      </w:r>
    </w:p>
    <w:p w14:paraId="15E2E356">
      <w:pPr>
        <w:jc w:val="center"/>
        <w:rPr>
          <w:rFonts w:hint="eastAsia" w:ascii="仿宋" w:hAnsi="仿宋" w:eastAsia="仿宋" w:cs="仿宋"/>
        </w:rPr>
      </w:pPr>
      <w:r>
        <w:rPr>
          <w:rFonts w:hint="eastAsia" w:ascii="仿宋" w:hAnsi="仿宋" w:eastAsia="仿宋" w:cs="仿宋"/>
          <w:i/>
          <w:sz w:val="18"/>
        </w:rPr>
        <w:t>그림 5.3 서로 다른 데이터셋의 정확도 비교 (노드 100개, 알파=0.1)</w:t>
      </w:r>
    </w:p>
    <w:p w14:paraId="2DB73A66">
      <w:pPr>
        <w:pStyle w:val="4"/>
        <w:rPr>
          <w:rFonts w:hint="eastAsia" w:ascii="仿宋" w:hAnsi="仿宋" w:eastAsia="仿宋" w:cs="仿宋"/>
        </w:rPr>
      </w:pPr>
      <w:bookmarkStart w:id="55" w:name="_Toc10912"/>
      <w:r>
        <w:rPr>
          <w:rFonts w:hint="eastAsia" w:ascii="仿宋" w:hAnsi="仿宋" w:eastAsia="仿宋" w:cs="仿宋"/>
        </w:rPr>
        <w:t>5.3 인센티브 메커니즘의 효과성 검증</w:t>
      </w:r>
      <w:bookmarkEnd w:id="55"/>
    </w:p>
    <w:p w14:paraId="6E09DD82">
      <w:pPr>
        <w:rPr>
          <w:rFonts w:hint="eastAsia" w:ascii="仿宋" w:hAnsi="仿宋" w:eastAsia="仿宋" w:cs="仿宋"/>
        </w:rPr>
      </w:pPr>
      <w:r>
        <w:rPr>
          <w:rFonts w:hint="eastAsia" w:ascii="仿宋" w:hAnsi="仿宋" w:eastAsia="仿宋" w:cs="仿宋"/>
        </w:rPr>
        <w:t>인센티브 메커니즘 실험은 100개의 모의 노드를 대상으로 500라운드 동안 진행되었습니다. 노드 행동 유형은 합리적 노드(70%, 기여도에 따라 보상 획득), 자기 이익 추구 노드(20%, 투입량 최소화 및 수익 극대화 시도), 그리고 저품질 기여 노드(10%, 차익거래를 위해 저품질 모델 제출)로 구성되었습니다.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10A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1ADA783">
            <w:pPr>
              <w:rPr>
                <w:rFonts w:hint="eastAsia" w:ascii="仿宋" w:hAnsi="仿宋" w:eastAsia="仿宋" w:cs="仿宋"/>
              </w:rPr>
            </w:pPr>
            <w:r>
              <w:rPr>
                <w:rFonts w:hint="eastAsia" w:ascii="仿宋" w:hAnsi="仿宋" w:eastAsia="仿宋" w:cs="仿宋"/>
                <w:b/>
                <w:sz w:val="18"/>
              </w:rPr>
              <w:t>인센티브 방법</w:t>
            </w:r>
          </w:p>
        </w:tc>
        <w:tc>
          <w:tcPr>
            <w:tcW w:w="1440" w:type="dxa"/>
          </w:tcPr>
          <w:p w14:paraId="2B680E17">
            <w:pPr>
              <w:rPr>
                <w:rFonts w:hint="eastAsia" w:ascii="仿宋" w:hAnsi="仿宋" w:eastAsia="仿宋" w:cs="仿宋"/>
              </w:rPr>
            </w:pPr>
            <w:r>
              <w:rPr>
                <w:rFonts w:hint="eastAsia" w:ascii="仿宋" w:hAnsi="仿宋" w:eastAsia="仿宋" w:cs="仿宋"/>
                <w:b/>
                <w:sz w:val="18"/>
              </w:rPr>
              <w:t>참여율(%)</w:t>
            </w:r>
          </w:p>
        </w:tc>
        <w:tc>
          <w:tcPr>
            <w:tcW w:w="1440" w:type="dxa"/>
          </w:tcPr>
          <w:p w14:paraId="3F7B859C">
            <w:pPr>
              <w:rPr>
                <w:rFonts w:hint="eastAsia" w:ascii="仿宋" w:hAnsi="仿宋" w:eastAsia="仿宋" w:cs="仿宋"/>
              </w:rPr>
            </w:pPr>
            <w:r>
              <w:rPr>
                <w:rFonts w:hint="eastAsia" w:ascii="仿宋" w:hAnsi="仿宋" w:eastAsia="仿宋" w:cs="仿宋"/>
                <w:b/>
                <w:sz w:val="18"/>
              </w:rPr>
              <w:t>지니 계수</w:t>
            </w:r>
          </w:p>
        </w:tc>
        <w:tc>
          <w:tcPr>
            <w:tcW w:w="1440" w:type="dxa"/>
          </w:tcPr>
          <w:p w14:paraId="22B6A8B4">
            <w:pPr>
              <w:rPr>
                <w:rFonts w:hint="eastAsia" w:ascii="仿宋" w:hAnsi="仿宋" w:eastAsia="仿宋" w:cs="仿宋"/>
              </w:rPr>
            </w:pPr>
            <w:r>
              <w:rPr>
                <w:rFonts w:hint="eastAsia" w:ascii="仿宋" w:hAnsi="仿宋" w:eastAsia="仿宋" w:cs="仿宋"/>
                <w:b/>
                <w:sz w:val="18"/>
              </w:rPr>
              <w:t>총체적 사회복지</w:t>
            </w:r>
          </w:p>
        </w:tc>
        <w:tc>
          <w:tcPr>
            <w:tcW w:w="1440" w:type="dxa"/>
          </w:tcPr>
          <w:p w14:paraId="5C04C5E8">
            <w:pPr>
              <w:rPr>
                <w:rFonts w:hint="eastAsia" w:ascii="仿宋" w:hAnsi="仿宋" w:eastAsia="仿宋" w:cs="仿宋"/>
              </w:rPr>
            </w:pPr>
            <w:r>
              <w:rPr>
                <w:rFonts w:hint="eastAsia" w:ascii="仿宋" w:hAnsi="仿宋" w:eastAsia="仿宋" w:cs="仿宋"/>
                <w:b/>
                <w:sz w:val="18"/>
              </w:rPr>
              <w:t>샤플리 편향</w:t>
            </w:r>
          </w:p>
        </w:tc>
        <w:tc>
          <w:tcPr>
            <w:tcW w:w="1440" w:type="dxa"/>
          </w:tcPr>
          <w:p w14:paraId="1BDDFC9E">
            <w:pPr>
              <w:rPr>
                <w:rFonts w:hint="eastAsia" w:ascii="仿宋" w:hAnsi="仿宋" w:eastAsia="仿宋" w:cs="仿宋"/>
              </w:rPr>
            </w:pPr>
            <w:r>
              <w:rPr>
                <w:rFonts w:hint="eastAsia" w:ascii="仿宋" w:hAnsi="仿宋" w:eastAsia="仿宋" w:cs="仿宋"/>
                <w:b/>
                <w:sz w:val="18"/>
              </w:rPr>
              <w:t>고품질 서비스 제공업체의 비율</w:t>
            </w:r>
          </w:p>
        </w:tc>
      </w:tr>
      <w:tr w14:paraId="43DC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296382F">
            <w:pPr>
              <w:rPr>
                <w:rFonts w:hint="eastAsia" w:ascii="仿宋" w:hAnsi="仿宋" w:eastAsia="仿宋" w:cs="仿宋"/>
              </w:rPr>
            </w:pPr>
            <w:r>
              <w:rPr>
                <w:rFonts w:hint="eastAsia" w:ascii="仿宋" w:hAnsi="仿宋" w:eastAsia="仿宋" w:cs="仿宋"/>
                <w:sz w:val="18"/>
              </w:rPr>
              <w:t>인센티브 없음</w:t>
            </w:r>
          </w:p>
        </w:tc>
        <w:tc>
          <w:tcPr>
            <w:tcW w:w="1440" w:type="dxa"/>
          </w:tcPr>
          <w:p w14:paraId="4FDB67D3">
            <w:pPr>
              <w:rPr>
                <w:rFonts w:hint="eastAsia" w:ascii="仿宋" w:hAnsi="仿宋" w:eastAsia="仿宋" w:cs="仿宋"/>
              </w:rPr>
            </w:pPr>
            <w:r>
              <w:rPr>
                <w:rFonts w:hint="eastAsia" w:ascii="仿宋" w:hAnsi="仿宋" w:eastAsia="仿宋" w:cs="仿宋"/>
                <w:sz w:val="18"/>
              </w:rPr>
              <w:t>62.3</w:t>
            </w:r>
          </w:p>
        </w:tc>
        <w:tc>
          <w:tcPr>
            <w:tcW w:w="1440" w:type="dxa"/>
          </w:tcPr>
          <w:p w14:paraId="20E5AD22">
            <w:pPr>
              <w:rPr>
                <w:rFonts w:hint="eastAsia" w:ascii="仿宋" w:hAnsi="仿宋" w:eastAsia="仿宋" w:cs="仿宋"/>
              </w:rPr>
            </w:pPr>
            <w:r>
              <w:rPr>
                <w:rFonts w:hint="eastAsia" w:ascii="仿宋" w:hAnsi="仿宋" w:eastAsia="仿宋" w:cs="仿宋"/>
                <w:sz w:val="18"/>
              </w:rPr>
              <w:t>0.487</w:t>
            </w:r>
          </w:p>
        </w:tc>
        <w:tc>
          <w:tcPr>
            <w:tcW w:w="1440" w:type="dxa"/>
          </w:tcPr>
          <w:p w14:paraId="76CC96E5">
            <w:pPr>
              <w:rPr>
                <w:rFonts w:hint="eastAsia" w:ascii="仿宋" w:hAnsi="仿宋" w:eastAsia="仿宋" w:cs="仿宋"/>
              </w:rPr>
            </w:pPr>
            <w:r>
              <w:rPr>
                <w:rFonts w:hint="eastAsia" w:ascii="仿宋" w:hAnsi="仿宋" w:eastAsia="仿宋" w:cs="仿宋"/>
                <w:sz w:val="18"/>
              </w:rPr>
              <w:t>0.723</w:t>
            </w:r>
          </w:p>
        </w:tc>
        <w:tc>
          <w:tcPr>
            <w:tcW w:w="1440" w:type="dxa"/>
          </w:tcPr>
          <w:p w14:paraId="0509B44F">
            <w:pPr>
              <w:rPr>
                <w:rFonts w:hint="eastAsia" w:ascii="仿宋" w:hAnsi="仿宋" w:eastAsia="仿宋" w:cs="仿宋"/>
              </w:rPr>
            </w:pPr>
            <w:r>
              <w:rPr>
                <w:rFonts w:hint="eastAsia" w:ascii="仿宋" w:hAnsi="仿宋" w:eastAsia="仿宋" w:cs="仿宋"/>
                <w:sz w:val="18"/>
              </w:rPr>
              <w:t>0.241</w:t>
            </w:r>
          </w:p>
        </w:tc>
        <w:tc>
          <w:tcPr>
            <w:tcW w:w="1440" w:type="dxa"/>
          </w:tcPr>
          <w:p w14:paraId="3D590268">
            <w:pPr>
              <w:rPr>
                <w:rFonts w:hint="eastAsia" w:ascii="仿宋" w:hAnsi="仿宋" w:eastAsia="仿宋" w:cs="仿宋"/>
              </w:rPr>
            </w:pPr>
            <w:r>
              <w:rPr>
                <w:rFonts w:hint="eastAsia" w:ascii="仿宋" w:hAnsi="仿宋" w:eastAsia="仿宋" w:cs="仿宋"/>
                <w:sz w:val="18"/>
              </w:rPr>
              <w:t>28.5%</w:t>
            </w:r>
          </w:p>
        </w:tc>
      </w:tr>
      <w:tr w14:paraId="4EC3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28CA221">
            <w:pPr>
              <w:rPr>
                <w:rFonts w:hint="eastAsia" w:ascii="仿宋" w:hAnsi="仿宋" w:eastAsia="仿宋" w:cs="仿宋"/>
              </w:rPr>
            </w:pPr>
            <w:r>
              <w:rPr>
                <w:rFonts w:hint="eastAsia" w:ascii="仿宋" w:hAnsi="仿宋" w:eastAsia="仿宋" w:cs="仿宋"/>
                <w:sz w:val="18"/>
              </w:rPr>
              <w:t>고정 보상</w:t>
            </w:r>
          </w:p>
        </w:tc>
        <w:tc>
          <w:tcPr>
            <w:tcW w:w="1440" w:type="dxa"/>
          </w:tcPr>
          <w:p w14:paraId="0FDB3381">
            <w:pPr>
              <w:rPr>
                <w:rFonts w:hint="eastAsia" w:ascii="仿宋" w:hAnsi="仿宋" w:eastAsia="仿宋" w:cs="仿宋"/>
              </w:rPr>
            </w:pPr>
            <w:r>
              <w:rPr>
                <w:rFonts w:hint="eastAsia" w:ascii="仿宋" w:hAnsi="仿宋" w:eastAsia="仿宋" w:cs="仿宋"/>
                <w:sz w:val="18"/>
              </w:rPr>
              <w:t>71.5</w:t>
            </w:r>
          </w:p>
        </w:tc>
        <w:tc>
          <w:tcPr>
            <w:tcW w:w="1440" w:type="dxa"/>
          </w:tcPr>
          <w:p w14:paraId="383E7075">
            <w:pPr>
              <w:rPr>
                <w:rFonts w:hint="eastAsia" w:ascii="仿宋" w:hAnsi="仿宋" w:eastAsia="仿宋" w:cs="仿宋"/>
              </w:rPr>
            </w:pPr>
            <w:r>
              <w:rPr>
                <w:rFonts w:hint="eastAsia" w:ascii="仿宋" w:hAnsi="仿宋" w:eastAsia="仿宋" w:cs="仿宋"/>
                <w:sz w:val="18"/>
              </w:rPr>
              <w:t>0.412</w:t>
            </w:r>
          </w:p>
        </w:tc>
        <w:tc>
          <w:tcPr>
            <w:tcW w:w="1440" w:type="dxa"/>
          </w:tcPr>
          <w:p w14:paraId="32B88B6E">
            <w:pPr>
              <w:rPr>
                <w:rFonts w:hint="eastAsia" w:ascii="仿宋" w:hAnsi="仿宋" w:eastAsia="仿宋" w:cs="仿宋"/>
              </w:rPr>
            </w:pPr>
            <w:r>
              <w:rPr>
                <w:rFonts w:hint="eastAsia" w:ascii="仿宋" w:hAnsi="仿宋" w:eastAsia="仿宋" w:cs="仿宋"/>
                <w:sz w:val="18"/>
              </w:rPr>
              <w:t>0.786</w:t>
            </w:r>
          </w:p>
        </w:tc>
        <w:tc>
          <w:tcPr>
            <w:tcW w:w="1440" w:type="dxa"/>
          </w:tcPr>
          <w:p w14:paraId="194BD907">
            <w:pPr>
              <w:rPr>
                <w:rFonts w:hint="eastAsia" w:ascii="仿宋" w:hAnsi="仿宋" w:eastAsia="仿宋" w:cs="仿宋"/>
              </w:rPr>
            </w:pPr>
            <w:r>
              <w:rPr>
                <w:rFonts w:hint="eastAsia" w:ascii="仿宋" w:hAnsi="仿宋" w:eastAsia="仿宋" w:cs="仿宋"/>
                <w:sz w:val="18"/>
              </w:rPr>
              <w:t>0.189</w:t>
            </w:r>
          </w:p>
        </w:tc>
        <w:tc>
          <w:tcPr>
            <w:tcW w:w="1440" w:type="dxa"/>
          </w:tcPr>
          <w:p w14:paraId="47FE49E3">
            <w:pPr>
              <w:rPr>
                <w:rFonts w:hint="eastAsia" w:ascii="仿宋" w:hAnsi="仿宋" w:eastAsia="仿宋" w:cs="仿宋"/>
              </w:rPr>
            </w:pPr>
            <w:r>
              <w:rPr>
                <w:rFonts w:hint="eastAsia" w:ascii="仿宋" w:hAnsi="仿宋" w:eastAsia="仿宋" w:cs="仿宋"/>
                <w:sz w:val="18"/>
              </w:rPr>
              <w:t>34.2%</w:t>
            </w:r>
          </w:p>
        </w:tc>
      </w:tr>
      <w:tr w14:paraId="4874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8DFF2A0">
            <w:pPr>
              <w:rPr>
                <w:rFonts w:hint="eastAsia" w:ascii="仿宋" w:hAnsi="仿宋" w:eastAsia="仿宋" w:cs="仿宋"/>
              </w:rPr>
            </w:pPr>
            <w:r>
              <w:rPr>
                <w:rFonts w:hint="eastAsia" w:ascii="仿宋" w:hAnsi="仿宋" w:eastAsia="仿宋" w:cs="仿宋"/>
                <w:sz w:val="18"/>
              </w:rPr>
              <w:t>평판 중심</w:t>
            </w:r>
          </w:p>
        </w:tc>
        <w:tc>
          <w:tcPr>
            <w:tcW w:w="1440" w:type="dxa"/>
          </w:tcPr>
          <w:p w14:paraId="2070B2BD">
            <w:pPr>
              <w:rPr>
                <w:rFonts w:hint="eastAsia" w:ascii="仿宋" w:hAnsi="仿宋" w:eastAsia="仿宋" w:cs="仿宋"/>
              </w:rPr>
            </w:pPr>
            <w:r>
              <w:rPr>
                <w:rFonts w:hint="eastAsia" w:ascii="仿宋" w:hAnsi="仿宋" w:eastAsia="仿宋" w:cs="仿宋"/>
                <w:sz w:val="18"/>
              </w:rPr>
              <w:t>78.2</w:t>
            </w:r>
          </w:p>
        </w:tc>
        <w:tc>
          <w:tcPr>
            <w:tcW w:w="1440" w:type="dxa"/>
          </w:tcPr>
          <w:p w14:paraId="5E737CAE">
            <w:pPr>
              <w:rPr>
                <w:rFonts w:hint="eastAsia" w:ascii="仿宋" w:hAnsi="仿宋" w:eastAsia="仿宋" w:cs="仿宋"/>
              </w:rPr>
            </w:pPr>
            <w:r>
              <w:rPr>
                <w:rFonts w:hint="eastAsia" w:ascii="仿宋" w:hAnsi="仿宋" w:eastAsia="仿宋" w:cs="仿宋"/>
                <w:sz w:val="18"/>
              </w:rPr>
              <w:t>0.358</w:t>
            </w:r>
          </w:p>
        </w:tc>
        <w:tc>
          <w:tcPr>
            <w:tcW w:w="1440" w:type="dxa"/>
          </w:tcPr>
          <w:p w14:paraId="10043377">
            <w:pPr>
              <w:rPr>
                <w:rFonts w:hint="eastAsia" w:ascii="仿宋" w:hAnsi="仿宋" w:eastAsia="仿宋" w:cs="仿宋"/>
              </w:rPr>
            </w:pPr>
            <w:r>
              <w:rPr>
                <w:rFonts w:hint="eastAsia" w:ascii="仿宋" w:hAnsi="仿宋" w:eastAsia="仿宋" w:cs="仿宋"/>
                <w:sz w:val="18"/>
              </w:rPr>
              <w:t>0.831</w:t>
            </w:r>
          </w:p>
        </w:tc>
        <w:tc>
          <w:tcPr>
            <w:tcW w:w="1440" w:type="dxa"/>
          </w:tcPr>
          <w:p w14:paraId="791C5E76">
            <w:pPr>
              <w:rPr>
                <w:rFonts w:hint="eastAsia" w:ascii="仿宋" w:hAnsi="仿宋" w:eastAsia="仿宋" w:cs="仿宋"/>
              </w:rPr>
            </w:pPr>
            <w:r>
              <w:rPr>
                <w:rFonts w:hint="eastAsia" w:ascii="仿宋" w:hAnsi="仿宋" w:eastAsia="仿宋" w:cs="仿宋"/>
                <w:sz w:val="18"/>
              </w:rPr>
              <w:t>0.152</w:t>
            </w:r>
          </w:p>
        </w:tc>
        <w:tc>
          <w:tcPr>
            <w:tcW w:w="1440" w:type="dxa"/>
          </w:tcPr>
          <w:p w14:paraId="1A17C41E">
            <w:pPr>
              <w:rPr>
                <w:rFonts w:hint="eastAsia" w:ascii="仿宋" w:hAnsi="仿宋" w:eastAsia="仿宋" w:cs="仿宋"/>
              </w:rPr>
            </w:pPr>
            <w:r>
              <w:rPr>
                <w:rFonts w:hint="eastAsia" w:ascii="仿宋" w:hAnsi="仿宋" w:eastAsia="仿宋" w:cs="仿宋"/>
                <w:sz w:val="18"/>
              </w:rPr>
              <w:t>41.8%</w:t>
            </w:r>
          </w:p>
        </w:tc>
      </w:tr>
      <w:tr w14:paraId="2BA3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246124A">
            <w:pPr>
              <w:rPr>
                <w:rFonts w:hint="eastAsia" w:ascii="仿宋" w:hAnsi="仿宋" w:eastAsia="仿宋" w:cs="仿宋"/>
              </w:rPr>
            </w:pPr>
            <w:r>
              <w:rPr>
                <w:rFonts w:hint="eastAsia" w:ascii="仿宋" w:hAnsi="仿宋" w:eastAsia="仿宋" w:cs="仿宋"/>
                <w:sz w:val="18"/>
              </w:rPr>
              <w:t>시장 가격</w:t>
            </w:r>
          </w:p>
        </w:tc>
        <w:tc>
          <w:tcPr>
            <w:tcW w:w="1440" w:type="dxa"/>
          </w:tcPr>
          <w:p w14:paraId="6725DB23">
            <w:pPr>
              <w:rPr>
                <w:rFonts w:hint="eastAsia" w:ascii="仿宋" w:hAnsi="仿宋" w:eastAsia="仿宋" w:cs="仿宋"/>
              </w:rPr>
            </w:pPr>
            <w:r>
              <w:rPr>
                <w:rFonts w:hint="eastAsia" w:ascii="仿宋" w:hAnsi="仿宋" w:eastAsia="仿宋" w:cs="仿宋"/>
                <w:sz w:val="18"/>
              </w:rPr>
              <w:t>82.7</w:t>
            </w:r>
          </w:p>
        </w:tc>
        <w:tc>
          <w:tcPr>
            <w:tcW w:w="1440" w:type="dxa"/>
          </w:tcPr>
          <w:p w14:paraId="083AF172">
            <w:pPr>
              <w:rPr>
                <w:rFonts w:hint="eastAsia" w:ascii="仿宋" w:hAnsi="仿宋" w:eastAsia="仿宋" w:cs="仿宋"/>
              </w:rPr>
            </w:pPr>
            <w:r>
              <w:rPr>
                <w:rFonts w:hint="eastAsia" w:ascii="仿宋" w:hAnsi="仿宋" w:eastAsia="仿宋" w:cs="仿宋"/>
                <w:sz w:val="18"/>
              </w:rPr>
              <w:t>0.331</w:t>
            </w:r>
          </w:p>
        </w:tc>
        <w:tc>
          <w:tcPr>
            <w:tcW w:w="1440" w:type="dxa"/>
          </w:tcPr>
          <w:p w14:paraId="38439EF9">
            <w:pPr>
              <w:rPr>
                <w:rFonts w:hint="eastAsia" w:ascii="仿宋" w:hAnsi="仿宋" w:eastAsia="仿宋" w:cs="仿宋"/>
              </w:rPr>
            </w:pPr>
            <w:r>
              <w:rPr>
                <w:rFonts w:hint="eastAsia" w:ascii="仿宋" w:hAnsi="仿宋" w:eastAsia="仿宋" w:cs="仿宋"/>
                <w:sz w:val="18"/>
              </w:rPr>
              <w:t>0.867</w:t>
            </w:r>
          </w:p>
        </w:tc>
        <w:tc>
          <w:tcPr>
            <w:tcW w:w="1440" w:type="dxa"/>
          </w:tcPr>
          <w:p w14:paraId="4D8BEC1E">
            <w:pPr>
              <w:rPr>
                <w:rFonts w:hint="eastAsia" w:ascii="仿宋" w:hAnsi="仿宋" w:eastAsia="仿宋" w:cs="仿宋"/>
              </w:rPr>
            </w:pPr>
            <w:r>
              <w:rPr>
                <w:rFonts w:hint="eastAsia" w:ascii="仿宋" w:hAnsi="仿宋" w:eastAsia="仿宋" w:cs="仿宋"/>
                <w:sz w:val="18"/>
              </w:rPr>
              <w:t>0.124</w:t>
            </w:r>
          </w:p>
        </w:tc>
        <w:tc>
          <w:tcPr>
            <w:tcW w:w="1440" w:type="dxa"/>
          </w:tcPr>
          <w:p w14:paraId="0CA3798C">
            <w:pPr>
              <w:rPr>
                <w:rFonts w:hint="eastAsia" w:ascii="仿宋" w:hAnsi="仿宋" w:eastAsia="仿宋" w:cs="仿宋"/>
              </w:rPr>
            </w:pPr>
            <w:r>
              <w:rPr>
                <w:rFonts w:hint="eastAsia" w:ascii="仿宋" w:hAnsi="仿宋" w:eastAsia="仿宋" w:cs="仿宋"/>
                <w:sz w:val="18"/>
              </w:rPr>
              <w:t>48.3%</w:t>
            </w:r>
          </w:p>
        </w:tc>
      </w:tr>
      <w:tr w14:paraId="4AF25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C4DDD0F">
            <w:pPr>
              <w:rPr>
                <w:rFonts w:hint="eastAsia" w:ascii="仿宋" w:hAnsi="仿宋" w:eastAsia="仿宋" w:cs="仿宋"/>
              </w:rPr>
            </w:pPr>
            <w:r>
              <w:rPr>
                <w:rFonts w:hint="eastAsia" w:ascii="仿宋" w:hAnsi="仿宋" w:eastAsia="仿宋" w:cs="仿宋"/>
                <w:sz w:val="18"/>
              </w:rPr>
              <w:t>샤플리(앞서 언급했듯이)</w:t>
            </w:r>
          </w:p>
        </w:tc>
        <w:tc>
          <w:tcPr>
            <w:tcW w:w="1440" w:type="dxa"/>
          </w:tcPr>
          <w:p w14:paraId="5C5E9CBB">
            <w:pPr>
              <w:rPr>
                <w:rFonts w:hint="eastAsia" w:ascii="仿宋" w:hAnsi="仿宋" w:eastAsia="仿宋" w:cs="仿宋"/>
              </w:rPr>
            </w:pPr>
            <w:r>
              <w:rPr>
                <w:rFonts w:hint="eastAsia" w:ascii="仿宋" w:hAnsi="仿宋" w:eastAsia="仿宋" w:cs="仿宋"/>
                <w:sz w:val="18"/>
              </w:rPr>
              <w:t>87.4</w:t>
            </w:r>
          </w:p>
        </w:tc>
        <w:tc>
          <w:tcPr>
            <w:tcW w:w="1440" w:type="dxa"/>
          </w:tcPr>
          <w:p w14:paraId="1459B938">
            <w:pPr>
              <w:rPr>
                <w:rFonts w:hint="eastAsia" w:ascii="仿宋" w:hAnsi="仿宋" w:eastAsia="仿宋" w:cs="仿宋"/>
              </w:rPr>
            </w:pPr>
            <w:r>
              <w:rPr>
                <w:rFonts w:hint="eastAsia" w:ascii="仿宋" w:hAnsi="仿宋" w:eastAsia="仿宋" w:cs="仿宋"/>
                <w:sz w:val="18"/>
              </w:rPr>
              <w:t>0.285</w:t>
            </w:r>
          </w:p>
        </w:tc>
        <w:tc>
          <w:tcPr>
            <w:tcW w:w="1440" w:type="dxa"/>
          </w:tcPr>
          <w:p w14:paraId="0326626B">
            <w:pPr>
              <w:rPr>
                <w:rFonts w:hint="eastAsia" w:ascii="仿宋" w:hAnsi="仿宋" w:eastAsia="仿宋" w:cs="仿宋"/>
              </w:rPr>
            </w:pPr>
            <w:r>
              <w:rPr>
                <w:rFonts w:hint="eastAsia" w:ascii="仿宋" w:hAnsi="仿宋" w:eastAsia="仿宋" w:cs="仿宋"/>
                <w:sz w:val="18"/>
              </w:rPr>
              <w:t>0.912</w:t>
            </w:r>
          </w:p>
        </w:tc>
        <w:tc>
          <w:tcPr>
            <w:tcW w:w="1440" w:type="dxa"/>
          </w:tcPr>
          <w:p w14:paraId="5A7054FE">
            <w:pPr>
              <w:rPr>
                <w:rFonts w:hint="eastAsia" w:ascii="仿宋" w:hAnsi="仿宋" w:eastAsia="仿宋" w:cs="仿宋"/>
              </w:rPr>
            </w:pPr>
            <w:r>
              <w:rPr>
                <w:rFonts w:hint="eastAsia" w:ascii="仿宋" w:hAnsi="仿宋" w:eastAsia="仿宋" w:cs="仿宋"/>
                <w:sz w:val="18"/>
              </w:rPr>
              <w:t>0.071</w:t>
            </w:r>
          </w:p>
        </w:tc>
        <w:tc>
          <w:tcPr>
            <w:tcW w:w="1440" w:type="dxa"/>
          </w:tcPr>
          <w:p w14:paraId="490C3066">
            <w:pPr>
              <w:rPr>
                <w:rFonts w:hint="eastAsia" w:ascii="仿宋" w:hAnsi="仿宋" w:eastAsia="仿宋" w:cs="仿宋"/>
              </w:rPr>
            </w:pPr>
            <w:r>
              <w:rPr>
                <w:rFonts w:hint="eastAsia" w:ascii="仿宋" w:hAnsi="仿宋" w:eastAsia="仿宋" w:cs="仿宋"/>
                <w:sz w:val="18"/>
              </w:rPr>
              <w:t>56.7%</w:t>
            </w:r>
          </w:p>
        </w:tc>
      </w:tr>
    </w:tbl>
    <w:p w14:paraId="32172F7F">
      <w:pPr>
        <w:rPr>
          <w:rFonts w:hint="eastAsia" w:ascii="仿宋" w:hAnsi="仿宋" w:eastAsia="仿宋" w:cs="仿宋"/>
        </w:rPr>
      </w:pPr>
    </w:p>
    <w:p w14:paraId="3F154F6A">
      <w:pPr>
        <w:rPr>
          <w:rFonts w:hint="eastAsia" w:ascii="仿宋" w:hAnsi="仿宋" w:eastAsia="仿宋" w:cs="仿宋"/>
        </w:rPr>
      </w:pPr>
      <w:r>
        <w:rPr>
          <w:rFonts w:hint="eastAsia" w:ascii="仿宋" w:hAnsi="仿宋" w:eastAsia="仿宋" w:cs="仿宋"/>
        </w:rPr>
        <w:t>표 5.5 인센티브 메커니즘 효과의 다차원적 비교</w:t>
      </w:r>
    </w:p>
    <w:p w14:paraId="73262163">
      <w:pPr>
        <w:rPr>
          <w:rFonts w:hint="eastAsia" w:ascii="仿宋" w:hAnsi="仿宋" w:eastAsia="仿宋" w:cs="仿宋"/>
        </w:rPr>
      </w:pPr>
      <w:r>
        <w:rPr>
          <w:rFonts w:hint="eastAsia" w:ascii="仿宋" w:hAnsi="仿宋" w:eastAsia="仿宋" w:cs="仿宋"/>
        </w:rPr>
        <w:t>[분석] 인센티브가 없는 제도와 비교했을 때, 제안된 샤플리 값 인센티브 메커니즘은 참여율을 25.1%포인트 증가시켜 87.4%에 달하게 했으며, 지니 계수는 0.487에서 0.285로 41.5% 감소하여 혜택 분배의 공정성이 질적으로 향상되었음을 보여준다. 고품질 제공자의 비율은 28.5%에서 56.7%로 급증하여, 제안된 메커니즘이 고품질 기여자를 선별하는 데 긍정적인 효과를 발휘함을 직접적으로 입증했다. 샤플리 편향은 0.071로 모든 제도 중 가장 낮았으며, 이는 보상과 실제 한계 기여도 간의 높은 일관성을 나타낸다. 또한, 총 사회 복지는 최적 수준인 0.912에 도달하여 공정성과 효율성이 반드시 상충되는 것이 아니라 합리적인 메커니즘 설계를 통해 균형을 이룰 수 있음을 보여준다.</w:t>
      </w:r>
    </w:p>
    <w:p w14:paraId="6527A770">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6400" cy="3771900"/>
            <wp:effectExtent l="0" t="0" r="0" b="0"/>
            <wp:docPr id="17" name="图片 17" descr="translated_image_k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ranslated_image_ko (5)"/>
                    <pic:cNvPicPr>
                      <a:picLocks noChangeAspect="1"/>
                    </pic:cNvPicPr>
                  </pic:nvPicPr>
                  <pic:blipFill>
                    <a:blip r:embed="rId12"/>
                    <a:stretch>
                      <a:fillRect/>
                    </a:stretch>
                  </pic:blipFill>
                  <pic:spPr>
                    <a:xfrm>
                      <a:off x="0" y="0"/>
                      <a:ext cx="5486400" cy="3771900"/>
                    </a:xfrm>
                    <a:prstGeom prst="rect">
                      <a:avLst/>
                    </a:prstGeom>
                  </pic:spPr>
                </pic:pic>
              </a:graphicData>
            </a:graphic>
          </wp:inline>
        </w:drawing>
      </w:r>
    </w:p>
    <w:p w14:paraId="60B5A00A">
      <w:pPr>
        <w:jc w:val="center"/>
        <w:rPr>
          <w:rFonts w:hint="eastAsia" w:ascii="仿宋" w:hAnsi="仿宋" w:eastAsia="仿宋" w:cs="仿宋"/>
        </w:rPr>
      </w:pPr>
      <w:r>
        <w:rPr>
          <w:rFonts w:hint="eastAsia" w:ascii="仿宋" w:hAnsi="仿宋" w:eastAsia="仿宋" w:cs="仿宋"/>
          <w:i/>
          <w:sz w:val="18"/>
        </w:rPr>
        <w:t>그림 5.4 인센티브 메커니즘 효과의 다차원적 비교</w:t>
      </w:r>
    </w:p>
    <w:p w14:paraId="7F76CF79">
      <w:pPr>
        <w:pStyle w:val="4"/>
        <w:rPr>
          <w:rFonts w:hint="eastAsia" w:ascii="仿宋" w:hAnsi="仿宋" w:eastAsia="仿宋" w:cs="仿宋"/>
        </w:rPr>
      </w:pPr>
      <w:bookmarkStart w:id="56" w:name="_Toc23958"/>
      <w:r>
        <w:rPr>
          <w:rFonts w:hint="eastAsia" w:ascii="仿宋" w:hAnsi="仿宋" w:eastAsia="仿宋" w:cs="仿宋"/>
        </w:rPr>
        <w:t>5.4 개인정보 보호 효과 실험</w:t>
      </w:r>
      <w:bookmarkEnd w:id="56"/>
    </w:p>
    <w:p w14:paraId="6E41711C">
      <w:pPr>
        <w:rPr>
          <w:rFonts w:hint="eastAsia" w:ascii="仿宋" w:hAnsi="仿宋" w:eastAsia="仿宋" w:cs="仿宋"/>
        </w:rPr>
      </w:pPr>
      <w:r>
        <w:rPr>
          <w:rFonts w:hint="eastAsia" w:ascii="仿宋" w:hAnsi="仿宋" w:eastAsia="仿宋" w:cs="仿宋"/>
        </w:rPr>
        <w:t>본 연구는 개인정보 보호 체계의 효과성과 비용을 체계적으로 평가하기 위해, 차분 프라이버시(epsilon = {0.5, 1.0, 2.0, 5.0, 보호 없음}) 및 다양한 SMPC 조합 조건에서 모델 정확도와 개인정보 공격(멤버십 추론 공격(MIA) 및 모델 역공격(MIA))에 대한 방어 능력 간의 균형을 측정한다. 공격 실험은 표준 섀도우 모델 훈련(Shadow Model Training) 방법을 사용하여 수행되었다.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E11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46275F2">
            <w:pPr>
              <w:rPr>
                <w:rFonts w:hint="eastAsia" w:ascii="仿宋" w:hAnsi="仿宋" w:eastAsia="仿宋" w:cs="仿宋"/>
              </w:rPr>
            </w:pPr>
            <w:r>
              <w:rPr>
                <w:rFonts w:hint="eastAsia" w:ascii="仿宋" w:hAnsi="仿宋" w:eastAsia="仿宋" w:cs="仿宋"/>
                <w:b/>
                <w:sz w:val="18"/>
              </w:rPr>
              <w:t>보호 방법</w:t>
            </w:r>
          </w:p>
        </w:tc>
        <w:tc>
          <w:tcPr>
            <w:tcW w:w="1440" w:type="dxa"/>
          </w:tcPr>
          <w:p w14:paraId="635EA0D3">
            <w:pPr>
              <w:rPr>
                <w:rFonts w:hint="eastAsia" w:ascii="仿宋" w:hAnsi="仿宋" w:eastAsia="仿宋" w:cs="仿宋"/>
              </w:rPr>
            </w:pPr>
            <w:r>
              <w:rPr>
                <w:rFonts w:hint="eastAsia" w:ascii="仿宋" w:hAnsi="仿宋" w:eastAsia="仿宋" w:cs="仿宋"/>
                <w:b/>
                <w:sz w:val="18"/>
              </w:rPr>
              <w:t>엡실론</w:t>
            </w:r>
          </w:p>
        </w:tc>
        <w:tc>
          <w:tcPr>
            <w:tcW w:w="1440" w:type="dxa"/>
          </w:tcPr>
          <w:p w14:paraId="77171E45">
            <w:pPr>
              <w:rPr>
                <w:rFonts w:hint="eastAsia" w:ascii="仿宋" w:hAnsi="仿宋" w:eastAsia="仿宋" w:cs="仿宋"/>
              </w:rPr>
            </w:pPr>
            <w:r>
              <w:rPr>
                <w:rFonts w:hint="eastAsia" w:ascii="仿宋" w:hAnsi="仿宋" w:eastAsia="仿宋" w:cs="仿宋"/>
                <w:b/>
                <w:sz w:val="18"/>
              </w:rPr>
              <w:t>정확성 (%)</w:t>
            </w:r>
          </w:p>
        </w:tc>
        <w:tc>
          <w:tcPr>
            <w:tcW w:w="1440" w:type="dxa"/>
          </w:tcPr>
          <w:p w14:paraId="7476581D">
            <w:pPr>
              <w:rPr>
                <w:rFonts w:hint="eastAsia" w:ascii="仿宋" w:hAnsi="仿宋" w:eastAsia="仿宋" w:cs="仿宋"/>
              </w:rPr>
            </w:pPr>
            <w:r>
              <w:rPr>
                <w:rFonts w:hint="eastAsia" w:ascii="仿宋" w:hAnsi="仿宋" w:eastAsia="仿宋" w:cs="仿宋"/>
                <w:b/>
                <w:sz w:val="18"/>
              </w:rPr>
              <w:t>MIA 공격 성공률(%)</w:t>
            </w:r>
          </w:p>
        </w:tc>
        <w:tc>
          <w:tcPr>
            <w:tcW w:w="1440" w:type="dxa"/>
          </w:tcPr>
          <w:p w14:paraId="2EFC457B">
            <w:pPr>
              <w:rPr>
                <w:rFonts w:hint="eastAsia" w:ascii="仿宋" w:hAnsi="仿宋" w:eastAsia="仿宋" w:cs="仿宋"/>
              </w:rPr>
            </w:pPr>
            <w:r>
              <w:rPr>
                <w:rFonts w:hint="eastAsia" w:ascii="仿宋" w:hAnsi="仿宋" w:eastAsia="仿宋" w:cs="仿宋"/>
                <w:b/>
                <w:sz w:val="18"/>
              </w:rPr>
              <w:t>역공격 성공률(%)</w:t>
            </w:r>
          </w:p>
        </w:tc>
        <w:tc>
          <w:tcPr>
            <w:tcW w:w="1440" w:type="dxa"/>
          </w:tcPr>
          <w:p w14:paraId="3783916D">
            <w:pPr>
              <w:rPr>
                <w:rFonts w:hint="eastAsia" w:ascii="仿宋" w:hAnsi="仿宋" w:eastAsia="仿宋" w:cs="仿宋"/>
              </w:rPr>
            </w:pPr>
            <w:r>
              <w:rPr>
                <w:rFonts w:hint="eastAsia" w:ascii="仿宋" w:hAnsi="仿宋" w:eastAsia="仿宋" w:cs="仿宋"/>
                <w:b/>
                <w:sz w:val="18"/>
              </w:rPr>
              <w:t>정확도 손실(pp)</w:t>
            </w:r>
          </w:p>
        </w:tc>
      </w:tr>
      <w:tr w14:paraId="03B9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6083F0E">
            <w:pPr>
              <w:rPr>
                <w:rFonts w:hint="eastAsia" w:ascii="仿宋" w:hAnsi="仿宋" w:eastAsia="仿宋" w:cs="仿宋"/>
              </w:rPr>
            </w:pPr>
            <w:r>
              <w:rPr>
                <w:rFonts w:hint="eastAsia" w:ascii="仿宋" w:hAnsi="仿宋" w:eastAsia="仿宋" w:cs="仿宋"/>
                <w:sz w:val="18"/>
              </w:rPr>
              <w:t>보호되지 않음</w:t>
            </w:r>
          </w:p>
        </w:tc>
        <w:tc>
          <w:tcPr>
            <w:tcW w:w="1440" w:type="dxa"/>
          </w:tcPr>
          <w:p w14:paraId="5956D6EF">
            <w:pPr>
              <w:rPr>
                <w:rFonts w:hint="eastAsia" w:ascii="仿宋" w:hAnsi="仿宋" w:eastAsia="仿宋" w:cs="仿宋"/>
              </w:rPr>
            </w:pPr>
            <w:r>
              <w:rPr>
                <w:rFonts w:hint="eastAsia" w:ascii="仿宋" w:hAnsi="仿宋" w:eastAsia="仿宋" w:cs="仿宋"/>
                <w:sz w:val="18"/>
              </w:rPr>
              <w:t>정보</w:t>
            </w:r>
          </w:p>
        </w:tc>
        <w:tc>
          <w:tcPr>
            <w:tcW w:w="1440" w:type="dxa"/>
          </w:tcPr>
          <w:p w14:paraId="3491BE29">
            <w:pPr>
              <w:rPr>
                <w:rFonts w:hint="eastAsia" w:ascii="仿宋" w:hAnsi="仿宋" w:eastAsia="仿宋" w:cs="仿宋"/>
              </w:rPr>
            </w:pPr>
            <w:r>
              <w:rPr>
                <w:rFonts w:hint="eastAsia" w:ascii="仿宋" w:hAnsi="仿宋" w:eastAsia="仿宋" w:cs="仿宋"/>
                <w:sz w:val="18"/>
              </w:rPr>
              <w:t>81.59</w:t>
            </w:r>
          </w:p>
        </w:tc>
        <w:tc>
          <w:tcPr>
            <w:tcW w:w="1440" w:type="dxa"/>
          </w:tcPr>
          <w:p w14:paraId="3C03502D">
            <w:pPr>
              <w:rPr>
                <w:rFonts w:hint="eastAsia" w:ascii="仿宋" w:hAnsi="仿宋" w:eastAsia="仿宋" w:cs="仿宋"/>
              </w:rPr>
            </w:pPr>
            <w:r>
              <w:rPr>
                <w:rFonts w:hint="eastAsia" w:ascii="仿宋" w:hAnsi="仿宋" w:eastAsia="仿宋" w:cs="仿宋"/>
                <w:sz w:val="18"/>
              </w:rPr>
              <w:t>68.3</w:t>
            </w:r>
          </w:p>
        </w:tc>
        <w:tc>
          <w:tcPr>
            <w:tcW w:w="1440" w:type="dxa"/>
          </w:tcPr>
          <w:p w14:paraId="619ED98B">
            <w:pPr>
              <w:rPr>
                <w:rFonts w:hint="eastAsia" w:ascii="仿宋" w:hAnsi="仿宋" w:eastAsia="仿宋" w:cs="仿宋"/>
              </w:rPr>
            </w:pPr>
            <w:r>
              <w:rPr>
                <w:rFonts w:hint="eastAsia" w:ascii="仿宋" w:hAnsi="仿宋" w:eastAsia="仿宋" w:cs="仿宋"/>
                <w:sz w:val="18"/>
              </w:rPr>
              <w:t>53.7</w:t>
            </w:r>
          </w:p>
        </w:tc>
        <w:tc>
          <w:tcPr>
            <w:tcW w:w="1440" w:type="dxa"/>
          </w:tcPr>
          <w:p w14:paraId="265F697F">
            <w:pPr>
              <w:rPr>
                <w:rFonts w:hint="eastAsia" w:ascii="仿宋" w:hAnsi="仿宋" w:eastAsia="仿宋" w:cs="仿宋"/>
              </w:rPr>
            </w:pPr>
            <w:r>
              <w:rPr>
                <w:rFonts w:hint="eastAsia" w:ascii="仿宋" w:hAnsi="仿宋" w:eastAsia="仿宋" w:cs="仿宋"/>
                <w:sz w:val="18"/>
              </w:rPr>
              <w:t>0.00</w:t>
            </w:r>
          </w:p>
        </w:tc>
      </w:tr>
      <w:tr w14:paraId="6861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5D0F28">
            <w:pPr>
              <w:rPr>
                <w:rFonts w:hint="eastAsia" w:ascii="仿宋" w:hAnsi="仿宋" w:eastAsia="仿宋" w:cs="仿宋"/>
              </w:rPr>
            </w:pPr>
            <w:r>
              <w:rPr>
                <w:rFonts w:hint="eastAsia" w:ascii="仿宋" w:hAnsi="仿宋" w:eastAsia="仿宋" w:cs="仿宋"/>
                <w:sz w:val="18"/>
              </w:rPr>
              <w:t>DP 전용</w:t>
            </w:r>
          </w:p>
        </w:tc>
        <w:tc>
          <w:tcPr>
            <w:tcW w:w="1440" w:type="dxa"/>
          </w:tcPr>
          <w:p w14:paraId="1687CCF5">
            <w:pPr>
              <w:rPr>
                <w:rFonts w:hint="eastAsia" w:ascii="仿宋" w:hAnsi="仿宋" w:eastAsia="仿宋" w:cs="仿宋"/>
              </w:rPr>
            </w:pPr>
            <w:r>
              <w:rPr>
                <w:rFonts w:hint="eastAsia" w:ascii="仿宋" w:hAnsi="仿宋" w:eastAsia="仿宋" w:cs="仿宋"/>
                <w:sz w:val="18"/>
              </w:rPr>
              <w:t>5.0</w:t>
            </w:r>
          </w:p>
        </w:tc>
        <w:tc>
          <w:tcPr>
            <w:tcW w:w="1440" w:type="dxa"/>
          </w:tcPr>
          <w:p w14:paraId="5B52A1C9">
            <w:pPr>
              <w:rPr>
                <w:rFonts w:hint="eastAsia" w:ascii="仿宋" w:hAnsi="仿宋" w:eastAsia="仿宋" w:cs="仿宋"/>
              </w:rPr>
            </w:pPr>
            <w:r>
              <w:rPr>
                <w:rFonts w:hint="eastAsia" w:ascii="仿宋" w:hAnsi="仿宋" w:eastAsia="仿宋" w:cs="仿宋"/>
                <w:sz w:val="18"/>
              </w:rPr>
              <w:t>81.24</w:t>
            </w:r>
          </w:p>
        </w:tc>
        <w:tc>
          <w:tcPr>
            <w:tcW w:w="1440" w:type="dxa"/>
          </w:tcPr>
          <w:p w14:paraId="527F9AF6">
            <w:pPr>
              <w:rPr>
                <w:rFonts w:hint="eastAsia" w:ascii="仿宋" w:hAnsi="仿宋" w:eastAsia="仿宋" w:cs="仿宋"/>
              </w:rPr>
            </w:pPr>
            <w:r>
              <w:rPr>
                <w:rFonts w:hint="eastAsia" w:ascii="仿宋" w:hAnsi="仿宋" w:eastAsia="仿宋" w:cs="仿宋"/>
                <w:sz w:val="18"/>
              </w:rPr>
              <w:t>28.4</w:t>
            </w:r>
          </w:p>
        </w:tc>
        <w:tc>
          <w:tcPr>
            <w:tcW w:w="1440" w:type="dxa"/>
          </w:tcPr>
          <w:p w14:paraId="04964F0D">
            <w:pPr>
              <w:rPr>
                <w:rFonts w:hint="eastAsia" w:ascii="仿宋" w:hAnsi="仿宋" w:eastAsia="仿宋" w:cs="仿宋"/>
              </w:rPr>
            </w:pPr>
            <w:r>
              <w:rPr>
                <w:rFonts w:hint="eastAsia" w:ascii="仿宋" w:hAnsi="仿宋" w:eastAsia="仿宋" w:cs="仿宋"/>
                <w:sz w:val="18"/>
              </w:rPr>
              <w:t>19.2</w:t>
            </w:r>
          </w:p>
        </w:tc>
        <w:tc>
          <w:tcPr>
            <w:tcW w:w="1440" w:type="dxa"/>
          </w:tcPr>
          <w:p w14:paraId="5A0D65BA">
            <w:pPr>
              <w:rPr>
                <w:rFonts w:hint="eastAsia" w:ascii="仿宋" w:hAnsi="仿宋" w:eastAsia="仿宋" w:cs="仿宋"/>
              </w:rPr>
            </w:pPr>
            <w:r>
              <w:rPr>
                <w:rFonts w:hint="eastAsia" w:ascii="仿宋" w:hAnsi="仿宋" w:eastAsia="仿宋" w:cs="仿宋"/>
                <w:sz w:val="18"/>
              </w:rPr>
              <w:t>-0.35</w:t>
            </w:r>
          </w:p>
        </w:tc>
      </w:tr>
      <w:tr w14:paraId="3248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9D339A8">
            <w:pPr>
              <w:rPr>
                <w:rFonts w:hint="eastAsia" w:ascii="仿宋" w:hAnsi="仿宋" w:eastAsia="仿宋" w:cs="仿宋"/>
              </w:rPr>
            </w:pPr>
            <w:r>
              <w:rPr>
                <w:rFonts w:hint="eastAsia" w:ascii="仿宋" w:hAnsi="仿宋" w:eastAsia="仿宋" w:cs="仿宋"/>
                <w:sz w:val="18"/>
              </w:rPr>
              <w:t>DP 전용</w:t>
            </w:r>
          </w:p>
        </w:tc>
        <w:tc>
          <w:tcPr>
            <w:tcW w:w="1440" w:type="dxa"/>
          </w:tcPr>
          <w:p w14:paraId="355FB55C">
            <w:pPr>
              <w:rPr>
                <w:rFonts w:hint="eastAsia" w:ascii="仿宋" w:hAnsi="仿宋" w:eastAsia="仿宋" w:cs="仿宋"/>
              </w:rPr>
            </w:pPr>
            <w:r>
              <w:rPr>
                <w:rFonts w:hint="eastAsia" w:ascii="仿宋" w:hAnsi="仿宋" w:eastAsia="仿宋" w:cs="仿宋"/>
                <w:sz w:val="18"/>
              </w:rPr>
              <w:t>2.0</w:t>
            </w:r>
          </w:p>
        </w:tc>
        <w:tc>
          <w:tcPr>
            <w:tcW w:w="1440" w:type="dxa"/>
          </w:tcPr>
          <w:p w14:paraId="5DDABFFA">
            <w:pPr>
              <w:rPr>
                <w:rFonts w:hint="eastAsia" w:ascii="仿宋" w:hAnsi="仿宋" w:eastAsia="仿宋" w:cs="仿宋"/>
              </w:rPr>
            </w:pPr>
            <w:r>
              <w:rPr>
                <w:rFonts w:hint="eastAsia" w:ascii="仿宋" w:hAnsi="仿宋" w:eastAsia="仿宋" w:cs="仿宋"/>
                <w:sz w:val="18"/>
              </w:rPr>
              <w:t>80.91</w:t>
            </w:r>
          </w:p>
        </w:tc>
        <w:tc>
          <w:tcPr>
            <w:tcW w:w="1440" w:type="dxa"/>
          </w:tcPr>
          <w:p w14:paraId="5F07D156">
            <w:pPr>
              <w:rPr>
                <w:rFonts w:hint="eastAsia" w:ascii="仿宋" w:hAnsi="仿宋" w:eastAsia="仿宋" w:cs="仿宋"/>
              </w:rPr>
            </w:pPr>
            <w:r>
              <w:rPr>
                <w:rFonts w:hint="eastAsia" w:ascii="仿宋" w:hAnsi="仿宋" w:eastAsia="仿宋" w:cs="仿宋"/>
                <w:sz w:val="18"/>
              </w:rPr>
              <w:t>19.7</w:t>
            </w:r>
          </w:p>
        </w:tc>
        <w:tc>
          <w:tcPr>
            <w:tcW w:w="1440" w:type="dxa"/>
          </w:tcPr>
          <w:p w14:paraId="3EFD8985">
            <w:pPr>
              <w:rPr>
                <w:rFonts w:hint="eastAsia" w:ascii="仿宋" w:hAnsi="仿宋" w:eastAsia="仿宋" w:cs="仿宋"/>
              </w:rPr>
            </w:pPr>
            <w:r>
              <w:rPr>
                <w:rFonts w:hint="eastAsia" w:ascii="仿宋" w:hAnsi="仿宋" w:eastAsia="仿宋" w:cs="仿宋"/>
                <w:sz w:val="18"/>
              </w:rPr>
              <w:t>12.8</w:t>
            </w:r>
          </w:p>
        </w:tc>
        <w:tc>
          <w:tcPr>
            <w:tcW w:w="1440" w:type="dxa"/>
          </w:tcPr>
          <w:p w14:paraId="1FE19F6B">
            <w:pPr>
              <w:rPr>
                <w:rFonts w:hint="eastAsia" w:ascii="仿宋" w:hAnsi="仿宋" w:eastAsia="仿宋" w:cs="仿宋"/>
              </w:rPr>
            </w:pPr>
            <w:r>
              <w:rPr>
                <w:rFonts w:hint="eastAsia" w:ascii="仿宋" w:hAnsi="仿宋" w:eastAsia="仿宋" w:cs="仿宋"/>
                <w:sz w:val="18"/>
              </w:rPr>
              <w:t>-0.68</w:t>
            </w:r>
          </w:p>
        </w:tc>
      </w:tr>
      <w:tr w14:paraId="0715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1157DE6">
            <w:pPr>
              <w:rPr>
                <w:rFonts w:hint="eastAsia" w:ascii="仿宋" w:hAnsi="仿宋" w:eastAsia="仿宋" w:cs="仿宋"/>
              </w:rPr>
            </w:pPr>
            <w:r>
              <w:rPr>
                <w:rFonts w:hint="eastAsia" w:ascii="仿宋" w:hAnsi="仿宋" w:eastAsia="仿宋" w:cs="仿宋"/>
                <w:sz w:val="18"/>
              </w:rPr>
              <w:t>DP 전용</w:t>
            </w:r>
          </w:p>
        </w:tc>
        <w:tc>
          <w:tcPr>
            <w:tcW w:w="1440" w:type="dxa"/>
          </w:tcPr>
          <w:p w14:paraId="7AEB2FE5">
            <w:pPr>
              <w:rPr>
                <w:rFonts w:hint="eastAsia" w:ascii="仿宋" w:hAnsi="仿宋" w:eastAsia="仿宋" w:cs="仿宋"/>
              </w:rPr>
            </w:pPr>
            <w:r>
              <w:rPr>
                <w:rFonts w:hint="eastAsia" w:ascii="仿宋" w:hAnsi="仿宋" w:eastAsia="仿宋" w:cs="仿宋"/>
                <w:sz w:val="18"/>
              </w:rPr>
              <w:t>1.0</w:t>
            </w:r>
          </w:p>
        </w:tc>
        <w:tc>
          <w:tcPr>
            <w:tcW w:w="1440" w:type="dxa"/>
          </w:tcPr>
          <w:p w14:paraId="6DC0A26B">
            <w:pPr>
              <w:rPr>
                <w:rFonts w:hint="eastAsia" w:ascii="仿宋" w:hAnsi="仿宋" w:eastAsia="仿宋" w:cs="仿宋"/>
              </w:rPr>
            </w:pPr>
            <w:r>
              <w:rPr>
                <w:rFonts w:hint="eastAsia" w:ascii="仿宋" w:hAnsi="仿宋" w:eastAsia="仿宋" w:cs="仿宋"/>
                <w:sz w:val="18"/>
              </w:rPr>
              <w:t>79.81</w:t>
            </w:r>
          </w:p>
        </w:tc>
        <w:tc>
          <w:tcPr>
            <w:tcW w:w="1440" w:type="dxa"/>
          </w:tcPr>
          <w:p w14:paraId="5823A3F9">
            <w:pPr>
              <w:rPr>
                <w:rFonts w:hint="eastAsia" w:ascii="仿宋" w:hAnsi="仿宋" w:eastAsia="仿宋" w:cs="仿宋"/>
              </w:rPr>
            </w:pPr>
            <w:r>
              <w:rPr>
                <w:rFonts w:hint="eastAsia" w:ascii="仿宋" w:hAnsi="仿宋" w:eastAsia="仿宋" w:cs="仿宋"/>
                <w:sz w:val="18"/>
              </w:rPr>
              <w:t>12.3</w:t>
            </w:r>
          </w:p>
        </w:tc>
        <w:tc>
          <w:tcPr>
            <w:tcW w:w="1440" w:type="dxa"/>
          </w:tcPr>
          <w:p w14:paraId="6C9B3ABF">
            <w:pPr>
              <w:rPr>
                <w:rFonts w:hint="eastAsia" w:ascii="仿宋" w:hAnsi="仿宋" w:eastAsia="仿宋" w:cs="仿宋"/>
              </w:rPr>
            </w:pPr>
            <w:r>
              <w:rPr>
                <w:rFonts w:hint="eastAsia" w:ascii="仿宋" w:hAnsi="仿宋" w:eastAsia="仿宋" w:cs="仿宋"/>
                <w:sz w:val="18"/>
              </w:rPr>
              <w:t>7.1</w:t>
            </w:r>
          </w:p>
        </w:tc>
        <w:tc>
          <w:tcPr>
            <w:tcW w:w="1440" w:type="dxa"/>
          </w:tcPr>
          <w:p w14:paraId="0B76BF03">
            <w:pPr>
              <w:rPr>
                <w:rFonts w:hint="eastAsia" w:ascii="仿宋" w:hAnsi="仿宋" w:eastAsia="仿宋" w:cs="仿宋"/>
              </w:rPr>
            </w:pPr>
            <w:r>
              <w:rPr>
                <w:rFonts w:hint="eastAsia" w:ascii="仿宋" w:hAnsi="仿宋" w:eastAsia="仿宋" w:cs="仿宋"/>
                <w:sz w:val="18"/>
              </w:rPr>
              <w:t>-1.78</w:t>
            </w:r>
          </w:p>
        </w:tc>
      </w:tr>
      <w:tr w14:paraId="48A1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C75941C">
            <w:pPr>
              <w:rPr>
                <w:rFonts w:hint="eastAsia" w:ascii="仿宋" w:hAnsi="仿宋" w:eastAsia="仿宋" w:cs="仿宋"/>
              </w:rPr>
            </w:pPr>
            <w:r>
              <w:rPr>
                <w:rFonts w:hint="eastAsia" w:ascii="仿宋" w:hAnsi="仿宋" w:eastAsia="仿宋" w:cs="仿宋"/>
                <w:sz w:val="18"/>
              </w:rPr>
              <w:t>DP 전용</w:t>
            </w:r>
          </w:p>
        </w:tc>
        <w:tc>
          <w:tcPr>
            <w:tcW w:w="1440" w:type="dxa"/>
          </w:tcPr>
          <w:p w14:paraId="7537C0A7">
            <w:pPr>
              <w:rPr>
                <w:rFonts w:hint="eastAsia" w:ascii="仿宋" w:hAnsi="仿宋" w:eastAsia="仿宋" w:cs="仿宋"/>
              </w:rPr>
            </w:pPr>
            <w:r>
              <w:rPr>
                <w:rFonts w:hint="eastAsia" w:ascii="仿宋" w:hAnsi="仿宋" w:eastAsia="仿宋" w:cs="仿宋"/>
                <w:sz w:val="18"/>
              </w:rPr>
              <w:t>0.5</w:t>
            </w:r>
          </w:p>
        </w:tc>
        <w:tc>
          <w:tcPr>
            <w:tcW w:w="1440" w:type="dxa"/>
          </w:tcPr>
          <w:p w14:paraId="4A4F8BDC">
            <w:pPr>
              <w:rPr>
                <w:rFonts w:hint="eastAsia" w:ascii="仿宋" w:hAnsi="仿宋" w:eastAsia="仿宋" w:cs="仿宋"/>
              </w:rPr>
            </w:pPr>
            <w:r>
              <w:rPr>
                <w:rFonts w:hint="eastAsia" w:ascii="仿宋" w:hAnsi="仿宋" w:eastAsia="仿宋" w:cs="仿宋"/>
                <w:sz w:val="18"/>
              </w:rPr>
              <w:t>77.43</w:t>
            </w:r>
          </w:p>
        </w:tc>
        <w:tc>
          <w:tcPr>
            <w:tcW w:w="1440" w:type="dxa"/>
          </w:tcPr>
          <w:p w14:paraId="3EA907F2">
            <w:pPr>
              <w:rPr>
                <w:rFonts w:hint="eastAsia" w:ascii="仿宋" w:hAnsi="仿宋" w:eastAsia="仿宋" w:cs="仿宋"/>
              </w:rPr>
            </w:pPr>
            <w:r>
              <w:rPr>
                <w:rFonts w:hint="eastAsia" w:ascii="仿宋" w:hAnsi="仿宋" w:eastAsia="仿宋" w:cs="仿宋"/>
                <w:sz w:val="18"/>
              </w:rPr>
              <w:t>7.8</w:t>
            </w:r>
          </w:p>
        </w:tc>
        <w:tc>
          <w:tcPr>
            <w:tcW w:w="1440" w:type="dxa"/>
          </w:tcPr>
          <w:p w14:paraId="5C0A7EE6">
            <w:pPr>
              <w:rPr>
                <w:rFonts w:hint="eastAsia" w:ascii="仿宋" w:hAnsi="仿宋" w:eastAsia="仿宋" w:cs="仿宋"/>
              </w:rPr>
            </w:pPr>
            <w:r>
              <w:rPr>
                <w:rFonts w:hint="eastAsia" w:ascii="仿宋" w:hAnsi="仿宋" w:eastAsia="仿宋" w:cs="仿宋"/>
                <w:sz w:val="18"/>
              </w:rPr>
              <w:t>4.2</w:t>
            </w:r>
          </w:p>
        </w:tc>
        <w:tc>
          <w:tcPr>
            <w:tcW w:w="1440" w:type="dxa"/>
          </w:tcPr>
          <w:p w14:paraId="044CD7F3">
            <w:pPr>
              <w:rPr>
                <w:rFonts w:hint="eastAsia" w:ascii="仿宋" w:hAnsi="仿宋" w:eastAsia="仿宋" w:cs="仿宋"/>
              </w:rPr>
            </w:pPr>
            <w:r>
              <w:rPr>
                <w:rFonts w:hint="eastAsia" w:ascii="仿宋" w:hAnsi="仿宋" w:eastAsia="仿宋" w:cs="仿宋"/>
                <w:sz w:val="18"/>
              </w:rPr>
              <w:t>-4.16</w:t>
            </w:r>
          </w:p>
        </w:tc>
      </w:tr>
      <w:tr w14:paraId="0BF6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363E414">
            <w:pPr>
              <w:rPr>
                <w:rFonts w:hint="eastAsia" w:ascii="仿宋" w:hAnsi="仿宋" w:eastAsia="仿宋" w:cs="仿宋"/>
              </w:rPr>
            </w:pPr>
            <w:r>
              <w:rPr>
                <w:rFonts w:hint="eastAsia" w:ascii="仿宋" w:hAnsi="仿宋" w:eastAsia="仿宋" w:cs="仿宋"/>
                <w:sz w:val="18"/>
              </w:rPr>
              <w:t>SMPC+DP</w:t>
            </w:r>
          </w:p>
        </w:tc>
        <w:tc>
          <w:tcPr>
            <w:tcW w:w="1440" w:type="dxa"/>
          </w:tcPr>
          <w:p w14:paraId="0A4FC8B2">
            <w:pPr>
              <w:rPr>
                <w:rFonts w:hint="eastAsia" w:ascii="仿宋" w:hAnsi="仿宋" w:eastAsia="仿宋" w:cs="仿宋"/>
              </w:rPr>
            </w:pPr>
            <w:r>
              <w:rPr>
                <w:rFonts w:hint="eastAsia" w:ascii="仿宋" w:hAnsi="仿宋" w:eastAsia="仿宋" w:cs="仿宋"/>
                <w:sz w:val="18"/>
              </w:rPr>
              <w:t>1.0</w:t>
            </w:r>
          </w:p>
        </w:tc>
        <w:tc>
          <w:tcPr>
            <w:tcW w:w="1440" w:type="dxa"/>
          </w:tcPr>
          <w:p w14:paraId="59904DDD">
            <w:pPr>
              <w:rPr>
                <w:rFonts w:hint="eastAsia" w:ascii="仿宋" w:hAnsi="仿宋" w:eastAsia="仿宋" w:cs="仿宋"/>
              </w:rPr>
            </w:pPr>
            <w:r>
              <w:rPr>
                <w:rFonts w:hint="eastAsia" w:ascii="仿宋" w:hAnsi="仿宋" w:eastAsia="仿宋" w:cs="仿宋"/>
                <w:sz w:val="18"/>
              </w:rPr>
              <w:t>79.53</w:t>
            </w:r>
          </w:p>
        </w:tc>
        <w:tc>
          <w:tcPr>
            <w:tcW w:w="1440" w:type="dxa"/>
          </w:tcPr>
          <w:p w14:paraId="5EDB3848">
            <w:pPr>
              <w:rPr>
                <w:rFonts w:hint="eastAsia" w:ascii="仿宋" w:hAnsi="仿宋" w:eastAsia="仿宋" w:cs="仿宋"/>
              </w:rPr>
            </w:pPr>
            <w:r>
              <w:rPr>
                <w:rFonts w:hint="eastAsia" w:ascii="仿宋" w:hAnsi="仿宋" w:eastAsia="仿宋" w:cs="仿宋"/>
                <w:sz w:val="18"/>
              </w:rPr>
              <w:t>9.6</w:t>
            </w:r>
          </w:p>
        </w:tc>
        <w:tc>
          <w:tcPr>
            <w:tcW w:w="1440" w:type="dxa"/>
          </w:tcPr>
          <w:p w14:paraId="625C4BBC">
            <w:pPr>
              <w:rPr>
                <w:rFonts w:hint="eastAsia" w:ascii="仿宋" w:hAnsi="仿宋" w:eastAsia="仿宋" w:cs="仿宋"/>
              </w:rPr>
            </w:pPr>
            <w:r>
              <w:rPr>
                <w:rFonts w:hint="eastAsia" w:ascii="仿宋" w:hAnsi="仿宋" w:eastAsia="仿宋" w:cs="仿宋"/>
                <w:sz w:val="18"/>
              </w:rPr>
              <w:t>5.4</w:t>
            </w:r>
          </w:p>
        </w:tc>
        <w:tc>
          <w:tcPr>
            <w:tcW w:w="1440" w:type="dxa"/>
          </w:tcPr>
          <w:p w14:paraId="3A49B362">
            <w:pPr>
              <w:rPr>
                <w:rFonts w:hint="eastAsia" w:ascii="仿宋" w:hAnsi="仿宋" w:eastAsia="仿宋" w:cs="仿宋"/>
              </w:rPr>
            </w:pPr>
            <w:r>
              <w:rPr>
                <w:rFonts w:hint="eastAsia" w:ascii="仿宋" w:hAnsi="仿宋" w:eastAsia="仿宋" w:cs="仿宋"/>
                <w:sz w:val="18"/>
              </w:rPr>
              <w:t>-2.06</w:t>
            </w:r>
          </w:p>
        </w:tc>
      </w:tr>
    </w:tbl>
    <w:p w14:paraId="59A30A03">
      <w:pPr>
        <w:rPr>
          <w:rFonts w:hint="eastAsia" w:ascii="仿宋" w:hAnsi="仿宋" w:eastAsia="仿宋" w:cs="仿宋"/>
        </w:rPr>
      </w:pPr>
    </w:p>
    <w:p w14:paraId="5D267FB8">
      <w:pPr>
        <w:rPr>
          <w:rFonts w:hint="eastAsia" w:ascii="仿宋" w:hAnsi="仿宋" w:eastAsia="仿宋" w:cs="仿宋"/>
        </w:rPr>
      </w:pPr>
      <w:r>
        <w:rPr>
          <w:rFonts w:hint="eastAsia" w:ascii="仿宋" w:hAnsi="仿宋" w:eastAsia="仿宋" w:cs="仿宋"/>
        </w:rPr>
        <w:t>표 5.6 개인정보 보호의 효과 및 비용 분석</w:t>
      </w:r>
    </w:p>
    <w:p w14:paraId="1BD4FC4F">
      <w:pPr>
        <w:rPr>
          <w:rFonts w:hint="eastAsia" w:ascii="仿宋" w:hAnsi="仿宋" w:eastAsia="仿宋" w:cs="仿宋"/>
        </w:rPr>
      </w:pPr>
      <w:r>
        <w:rPr>
          <w:rFonts w:hint="eastAsia" w:ascii="仿宋" w:hAnsi="仿宋" w:eastAsia="仿宋" w:cs="仿宋"/>
        </w:rPr>
        <w:t>[분석] 실험 결과는 개인정보 보호 강도와 모델 성능 간의 고전적인 상충 관계를 명확히 보여줍니다. 엡실론 값이 보호 없음에서 0.5로 감소함에 따라 MIA 공격의 성공률은 68.3%에서 7.8%로 단조적으로 감소하는 반면, 모델 정확도 손실은 0에서 4.16pp로 단조적으로 증가합니다. 엡실론=1.0은 산업 시나리오에서 실용적인 균형점으로 확인되었으며, 이는 정확도 1.78pp를 희생하는 대신 개인정보 공격 방어에서 82.0%의 이득을 얻는 것입니다. SMPC와 DP의 결합 방식은 MIA 공격의 성공률을 9.6%까지 더욱 낮추지만, 약 0.28pp의 추가적인 정확도 손실과 약 15%의 추가적인 계산 지연을 초래합니다. 엡실론=0.5일 때 정확도 손실은 4.16pp로 급격히 증가하는데, 이는 과도한 노이즈 주입이 모델이 학습한 특징 표현을 심각하게 손상시키기 시작했음을 나타냅니다[20][23].</w:t>
      </w:r>
    </w:p>
    <w:p w14:paraId="0955B2AF">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6400" cy="3429000"/>
            <wp:effectExtent l="0" t="0" r="0" b="0"/>
            <wp:docPr id="18" name="图片 18" descr="translated_image_k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ranslated_image_ko (6)"/>
                    <pic:cNvPicPr>
                      <a:picLocks noChangeAspect="1"/>
                    </pic:cNvPicPr>
                  </pic:nvPicPr>
                  <pic:blipFill>
                    <a:blip r:embed="rId13"/>
                    <a:stretch>
                      <a:fillRect/>
                    </a:stretch>
                  </pic:blipFill>
                  <pic:spPr>
                    <a:xfrm>
                      <a:off x="0" y="0"/>
                      <a:ext cx="5486400" cy="3429000"/>
                    </a:xfrm>
                    <a:prstGeom prst="rect">
                      <a:avLst/>
                    </a:prstGeom>
                  </pic:spPr>
                </pic:pic>
              </a:graphicData>
            </a:graphic>
          </wp:inline>
        </w:drawing>
      </w:r>
    </w:p>
    <w:p w14:paraId="137D0EB9">
      <w:pPr>
        <w:jc w:val="center"/>
        <w:rPr>
          <w:rFonts w:hint="eastAsia" w:ascii="仿宋" w:hAnsi="仿宋" w:eastAsia="仿宋" w:cs="仿宋"/>
        </w:rPr>
      </w:pPr>
      <w:r>
        <w:rPr>
          <w:rFonts w:hint="eastAsia" w:ascii="仿宋" w:hAnsi="仿宋" w:eastAsia="仿宋" w:cs="仿宋"/>
          <w:i/>
          <w:sz w:val="18"/>
        </w:rPr>
        <w:t>그림 5.5 개인정보보호-정확도 상충 곡선</w:t>
      </w:r>
    </w:p>
    <w:p w14:paraId="736C9B14">
      <w:pPr>
        <w:pStyle w:val="4"/>
        <w:rPr>
          <w:rFonts w:hint="eastAsia" w:ascii="仿宋" w:hAnsi="仿宋" w:eastAsia="仿宋" w:cs="仿宋"/>
        </w:rPr>
      </w:pPr>
      <w:bookmarkStart w:id="57" w:name="_Toc21784"/>
      <w:r>
        <w:rPr>
          <w:rFonts w:hint="eastAsia" w:ascii="仿宋" w:hAnsi="仿宋" w:eastAsia="仿宋" w:cs="仿宋"/>
        </w:rPr>
        <w:t>5.5 시스템 성능 및 확장성 테스트</w:t>
      </w:r>
      <w:bookmarkEnd w:id="57"/>
    </w:p>
    <w:p w14:paraId="5CCD0D7A">
      <w:pPr>
        <w:rPr>
          <w:rFonts w:hint="eastAsia" w:ascii="仿宋" w:hAnsi="仿宋" w:eastAsia="仿宋" w:cs="仿宋"/>
        </w:rPr>
      </w:pPr>
      <w:r>
        <w:rPr>
          <w:rFonts w:hint="eastAsia" w:ascii="仿宋" w:hAnsi="仿宋" w:eastAsia="仿宋" w:cs="仿宋"/>
        </w:rPr>
        <w:t>시스템 부하 테스트는 노드 크기(10/50/100)와 동시 트랜잭션 수(50/100/200)의 조합 조건에서 TPS, 응답 지연 시간, 트랜잭션 성공률과 같은 주요 성능 지표를 측정했습니다.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3FB4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A1AA9AC">
            <w:pPr>
              <w:rPr>
                <w:rFonts w:hint="eastAsia" w:ascii="仿宋" w:hAnsi="仿宋" w:eastAsia="仿宋" w:cs="仿宋"/>
              </w:rPr>
            </w:pPr>
            <w:r>
              <w:rPr>
                <w:rFonts w:hint="eastAsia" w:ascii="仿宋" w:hAnsi="仿宋" w:eastAsia="仿宋" w:cs="仿宋"/>
                <w:b/>
                <w:sz w:val="18"/>
              </w:rPr>
              <w:t>노드 수</w:t>
            </w:r>
          </w:p>
        </w:tc>
        <w:tc>
          <w:tcPr>
            <w:tcW w:w="1440" w:type="dxa"/>
          </w:tcPr>
          <w:p w14:paraId="2655CFE7">
            <w:pPr>
              <w:rPr>
                <w:rFonts w:hint="eastAsia" w:ascii="仿宋" w:hAnsi="仿宋" w:eastAsia="仿宋" w:cs="仿宋"/>
              </w:rPr>
            </w:pPr>
            <w:r>
              <w:rPr>
                <w:rFonts w:hint="eastAsia" w:ascii="仿宋" w:hAnsi="仿宋" w:eastAsia="仿宋" w:cs="仿宋"/>
                <w:b/>
                <w:sz w:val="18"/>
              </w:rPr>
              <w:t>티피스</w:t>
            </w:r>
          </w:p>
        </w:tc>
        <w:tc>
          <w:tcPr>
            <w:tcW w:w="1440" w:type="dxa"/>
          </w:tcPr>
          <w:p w14:paraId="320966A9">
            <w:pPr>
              <w:rPr>
                <w:rFonts w:hint="eastAsia" w:ascii="仿宋" w:hAnsi="仿宋" w:eastAsia="仿宋" w:cs="仿宋"/>
              </w:rPr>
            </w:pPr>
            <w:r>
              <w:rPr>
                <w:rFonts w:hint="eastAsia" w:ascii="仿宋" w:hAnsi="仿宋" w:eastAsia="仿宋" w:cs="仿宋"/>
                <w:b/>
                <w:sz w:val="18"/>
              </w:rPr>
              <w:t>평균 등록 지연 시간(밀리초)</w:t>
            </w:r>
          </w:p>
        </w:tc>
        <w:tc>
          <w:tcPr>
            <w:tcW w:w="1440" w:type="dxa"/>
          </w:tcPr>
          <w:p w14:paraId="6FC380EE">
            <w:pPr>
              <w:rPr>
                <w:rFonts w:hint="eastAsia" w:ascii="仿宋" w:hAnsi="仿宋" w:eastAsia="仿宋" w:cs="仿宋"/>
              </w:rPr>
            </w:pPr>
            <w:r>
              <w:rPr>
                <w:rFonts w:hint="eastAsia" w:ascii="仿宋" w:hAnsi="仿宋" w:eastAsia="仿宋" w:cs="仿宋"/>
                <w:b/>
                <w:sz w:val="18"/>
              </w:rPr>
              <w:t>평균 검증 지연 시간(밀리초)</w:t>
            </w:r>
          </w:p>
        </w:tc>
        <w:tc>
          <w:tcPr>
            <w:tcW w:w="1440" w:type="dxa"/>
          </w:tcPr>
          <w:p w14:paraId="48AD95B5">
            <w:pPr>
              <w:rPr>
                <w:rFonts w:hint="eastAsia" w:ascii="仿宋" w:hAnsi="仿宋" w:eastAsia="仿宋" w:cs="仿宋"/>
              </w:rPr>
            </w:pPr>
            <w:r>
              <w:rPr>
                <w:rFonts w:hint="eastAsia" w:ascii="仿宋" w:hAnsi="仿宋" w:eastAsia="仿宋" w:cs="仿宋"/>
                <w:b/>
                <w:sz w:val="18"/>
              </w:rPr>
              <w:t>거래 성공률(%)</w:t>
            </w:r>
          </w:p>
        </w:tc>
        <w:tc>
          <w:tcPr>
            <w:tcW w:w="1440" w:type="dxa"/>
          </w:tcPr>
          <w:p w14:paraId="6E9BF042">
            <w:pPr>
              <w:rPr>
                <w:rFonts w:hint="eastAsia" w:ascii="仿宋" w:hAnsi="仿宋" w:eastAsia="仿宋" w:cs="仿宋"/>
              </w:rPr>
            </w:pPr>
            <w:r>
              <w:rPr>
                <w:rFonts w:hint="eastAsia" w:ascii="仿宋" w:hAnsi="仿宋" w:eastAsia="仿宋" w:cs="仿宋"/>
                <w:b/>
                <w:sz w:val="18"/>
              </w:rPr>
              <w:t>저장 공간 오버헤드(%)</w:t>
            </w:r>
          </w:p>
        </w:tc>
      </w:tr>
      <w:tr w14:paraId="0752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C95103A">
            <w:pPr>
              <w:rPr>
                <w:rFonts w:hint="eastAsia" w:ascii="仿宋" w:hAnsi="仿宋" w:eastAsia="仿宋" w:cs="仿宋"/>
              </w:rPr>
            </w:pPr>
            <w:r>
              <w:rPr>
                <w:rFonts w:hint="eastAsia" w:ascii="仿宋" w:hAnsi="仿宋" w:eastAsia="仿宋" w:cs="仿宋"/>
                <w:sz w:val="18"/>
              </w:rPr>
              <w:t>10</w:t>
            </w:r>
          </w:p>
        </w:tc>
        <w:tc>
          <w:tcPr>
            <w:tcW w:w="1440" w:type="dxa"/>
          </w:tcPr>
          <w:p w14:paraId="4AE88FC0">
            <w:pPr>
              <w:rPr>
                <w:rFonts w:hint="eastAsia" w:ascii="仿宋" w:hAnsi="仿宋" w:eastAsia="仿宋" w:cs="仿宋"/>
              </w:rPr>
            </w:pPr>
            <w:r>
              <w:rPr>
                <w:rFonts w:hint="eastAsia" w:ascii="仿宋" w:hAnsi="仿宋" w:eastAsia="仿宋" w:cs="仿宋"/>
                <w:sz w:val="18"/>
              </w:rPr>
              <w:t>1,240</w:t>
            </w:r>
          </w:p>
        </w:tc>
        <w:tc>
          <w:tcPr>
            <w:tcW w:w="1440" w:type="dxa"/>
          </w:tcPr>
          <w:p w14:paraId="29B57042">
            <w:pPr>
              <w:rPr>
                <w:rFonts w:hint="eastAsia" w:ascii="仿宋" w:hAnsi="仿宋" w:eastAsia="仿宋" w:cs="仿宋"/>
              </w:rPr>
            </w:pPr>
            <w:r>
              <w:rPr>
                <w:rFonts w:hint="eastAsia" w:ascii="仿宋" w:hAnsi="仿宋" w:eastAsia="仿宋" w:cs="仿宋"/>
                <w:sz w:val="18"/>
              </w:rPr>
              <w:t>스물넷</w:t>
            </w:r>
          </w:p>
        </w:tc>
        <w:tc>
          <w:tcPr>
            <w:tcW w:w="1440" w:type="dxa"/>
          </w:tcPr>
          <w:p w14:paraId="77DC5DF9">
            <w:pPr>
              <w:rPr>
                <w:rFonts w:hint="eastAsia" w:ascii="仿宋" w:hAnsi="仿宋" w:eastAsia="仿宋" w:cs="仿宋"/>
              </w:rPr>
            </w:pPr>
            <w:r>
              <w:rPr>
                <w:rFonts w:hint="eastAsia" w:ascii="仿宋" w:hAnsi="仿宋" w:eastAsia="仿宋" w:cs="仿宋"/>
                <w:sz w:val="18"/>
              </w:rPr>
              <w:t>16</w:t>
            </w:r>
          </w:p>
        </w:tc>
        <w:tc>
          <w:tcPr>
            <w:tcW w:w="1440" w:type="dxa"/>
          </w:tcPr>
          <w:p w14:paraId="335AC613">
            <w:pPr>
              <w:rPr>
                <w:rFonts w:hint="eastAsia" w:ascii="仿宋" w:hAnsi="仿宋" w:eastAsia="仿宋" w:cs="仿宋"/>
              </w:rPr>
            </w:pPr>
            <w:r>
              <w:rPr>
                <w:rFonts w:hint="eastAsia" w:ascii="仿宋" w:hAnsi="仿宋" w:eastAsia="仿宋" w:cs="仿宋"/>
                <w:sz w:val="18"/>
              </w:rPr>
              <w:t>98.7</w:t>
            </w:r>
          </w:p>
        </w:tc>
        <w:tc>
          <w:tcPr>
            <w:tcW w:w="1440" w:type="dxa"/>
          </w:tcPr>
          <w:p w14:paraId="36943352">
            <w:pPr>
              <w:rPr>
                <w:rFonts w:hint="eastAsia" w:ascii="仿宋" w:hAnsi="仿宋" w:eastAsia="仿宋" w:cs="仿宋"/>
              </w:rPr>
            </w:pPr>
            <w:r>
              <w:rPr>
                <w:rFonts w:hint="eastAsia" w:ascii="仿宋" w:hAnsi="仿宋" w:eastAsia="仿宋" w:cs="仿宋"/>
                <w:sz w:val="18"/>
              </w:rPr>
              <w:t>4.2</w:t>
            </w:r>
          </w:p>
        </w:tc>
      </w:tr>
      <w:tr w14:paraId="7F2B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4C1A6E8">
            <w:pPr>
              <w:rPr>
                <w:rFonts w:hint="eastAsia" w:ascii="仿宋" w:hAnsi="仿宋" w:eastAsia="仿宋" w:cs="仿宋"/>
              </w:rPr>
            </w:pPr>
            <w:r>
              <w:rPr>
                <w:rFonts w:hint="eastAsia" w:ascii="仿宋" w:hAnsi="仿宋" w:eastAsia="仿宋" w:cs="仿宋"/>
                <w:sz w:val="18"/>
              </w:rPr>
              <w:t>50</w:t>
            </w:r>
          </w:p>
        </w:tc>
        <w:tc>
          <w:tcPr>
            <w:tcW w:w="1440" w:type="dxa"/>
          </w:tcPr>
          <w:p w14:paraId="113F574C">
            <w:pPr>
              <w:rPr>
                <w:rFonts w:hint="eastAsia" w:ascii="仿宋" w:hAnsi="仿宋" w:eastAsia="仿宋" w:cs="仿宋"/>
              </w:rPr>
            </w:pPr>
            <w:r>
              <w:rPr>
                <w:rFonts w:hint="eastAsia" w:ascii="仿宋" w:hAnsi="仿宋" w:eastAsia="仿宋" w:cs="仿宋"/>
                <w:sz w:val="18"/>
              </w:rPr>
              <w:t>980</w:t>
            </w:r>
          </w:p>
        </w:tc>
        <w:tc>
          <w:tcPr>
            <w:tcW w:w="1440" w:type="dxa"/>
          </w:tcPr>
          <w:p w14:paraId="1A418D36">
            <w:pPr>
              <w:rPr>
                <w:rFonts w:hint="eastAsia" w:ascii="仿宋" w:hAnsi="仿宋" w:eastAsia="仿宋" w:cs="仿宋"/>
              </w:rPr>
            </w:pPr>
            <w:r>
              <w:rPr>
                <w:rFonts w:hint="eastAsia" w:ascii="仿宋" w:hAnsi="仿宋" w:eastAsia="仿宋" w:cs="仿宋"/>
                <w:sz w:val="18"/>
              </w:rPr>
              <w:t>37</w:t>
            </w:r>
          </w:p>
        </w:tc>
        <w:tc>
          <w:tcPr>
            <w:tcW w:w="1440" w:type="dxa"/>
          </w:tcPr>
          <w:p w14:paraId="1B75F3A9">
            <w:pPr>
              <w:rPr>
                <w:rFonts w:hint="eastAsia" w:ascii="仿宋" w:hAnsi="仿宋" w:eastAsia="仿宋" w:cs="仿宋"/>
              </w:rPr>
            </w:pPr>
            <w:r>
              <w:rPr>
                <w:rFonts w:hint="eastAsia" w:ascii="仿宋" w:hAnsi="仿宋" w:eastAsia="仿宋" w:cs="仿宋"/>
                <w:sz w:val="18"/>
              </w:rPr>
              <w:t>스물셋</w:t>
            </w:r>
          </w:p>
        </w:tc>
        <w:tc>
          <w:tcPr>
            <w:tcW w:w="1440" w:type="dxa"/>
          </w:tcPr>
          <w:p w14:paraId="469F7A84">
            <w:pPr>
              <w:rPr>
                <w:rFonts w:hint="eastAsia" w:ascii="仿宋" w:hAnsi="仿宋" w:eastAsia="仿宋" w:cs="仿宋"/>
              </w:rPr>
            </w:pPr>
            <w:r>
              <w:rPr>
                <w:rFonts w:hint="eastAsia" w:ascii="仿宋" w:hAnsi="仿宋" w:eastAsia="仿宋" w:cs="仿宋"/>
                <w:sz w:val="18"/>
              </w:rPr>
              <w:t>97.2</w:t>
            </w:r>
          </w:p>
        </w:tc>
        <w:tc>
          <w:tcPr>
            <w:tcW w:w="1440" w:type="dxa"/>
          </w:tcPr>
          <w:p w14:paraId="2AB81787">
            <w:pPr>
              <w:rPr>
                <w:rFonts w:hint="eastAsia" w:ascii="仿宋" w:hAnsi="仿宋" w:eastAsia="仿宋" w:cs="仿宋"/>
              </w:rPr>
            </w:pPr>
            <w:r>
              <w:rPr>
                <w:rFonts w:hint="eastAsia" w:ascii="仿宋" w:hAnsi="仿宋" w:eastAsia="仿宋" w:cs="仿宋"/>
                <w:sz w:val="18"/>
              </w:rPr>
              <w:t>11.8</w:t>
            </w:r>
          </w:p>
        </w:tc>
      </w:tr>
      <w:tr w14:paraId="4246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85AF362">
            <w:pPr>
              <w:rPr>
                <w:rFonts w:hint="eastAsia" w:ascii="仿宋" w:hAnsi="仿宋" w:eastAsia="仿宋" w:cs="仿宋"/>
              </w:rPr>
            </w:pPr>
            <w:r>
              <w:rPr>
                <w:rFonts w:hint="eastAsia" w:ascii="仿宋" w:hAnsi="仿宋" w:eastAsia="仿宋" w:cs="仿宋"/>
                <w:sz w:val="18"/>
              </w:rPr>
              <w:t>100</w:t>
            </w:r>
          </w:p>
        </w:tc>
        <w:tc>
          <w:tcPr>
            <w:tcW w:w="1440" w:type="dxa"/>
          </w:tcPr>
          <w:p w14:paraId="5E4B0395">
            <w:pPr>
              <w:rPr>
                <w:rFonts w:hint="eastAsia" w:ascii="仿宋" w:hAnsi="仿宋" w:eastAsia="仿宋" w:cs="仿宋"/>
              </w:rPr>
            </w:pPr>
            <w:r>
              <w:rPr>
                <w:rFonts w:hint="eastAsia" w:ascii="仿宋" w:hAnsi="仿宋" w:eastAsia="仿宋" w:cs="仿宋"/>
                <w:sz w:val="18"/>
              </w:rPr>
              <w:t>820</w:t>
            </w:r>
          </w:p>
        </w:tc>
        <w:tc>
          <w:tcPr>
            <w:tcW w:w="1440" w:type="dxa"/>
          </w:tcPr>
          <w:p w14:paraId="58B239D5">
            <w:pPr>
              <w:rPr>
                <w:rFonts w:hint="eastAsia" w:ascii="仿宋" w:hAnsi="仿宋" w:eastAsia="仿宋" w:cs="仿宋"/>
              </w:rPr>
            </w:pPr>
            <w:r>
              <w:rPr>
                <w:rFonts w:hint="eastAsia" w:ascii="仿宋" w:hAnsi="仿宋" w:eastAsia="仿宋" w:cs="仿宋"/>
                <w:sz w:val="18"/>
              </w:rPr>
              <w:t>44</w:t>
            </w:r>
          </w:p>
        </w:tc>
        <w:tc>
          <w:tcPr>
            <w:tcW w:w="1440" w:type="dxa"/>
          </w:tcPr>
          <w:p w14:paraId="01D61E1F">
            <w:pPr>
              <w:rPr>
                <w:rFonts w:hint="eastAsia" w:ascii="仿宋" w:hAnsi="仿宋" w:eastAsia="仿宋" w:cs="仿宋"/>
              </w:rPr>
            </w:pPr>
            <w:r>
              <w:rPr>
                <w:rFonts w:hint="eastAsia" w:ascii="仿宋" w:hAnsi="仿宋" w:eastAsia="仿宋" w:cs="仿宋"/>
                <w:sz w:val="18"/>
              </w:rPr>
              <w:t>27</w:t>
            </w:r>
          </w:p>
        </w:tc>
        <w:tc>
          <w:tcPr>
            <w:tcW w:w="1440" w:type="dxa"/>
          </w:tcPr>
          <w:p w14:paraId="16A5B4CA">
            <w:pPr>
              <w:rPr>
                <w:rFonts w:hint="eastAsia" w:ascii="仿宋" w:hAnsi="仿宋" w:eastAsia="仿宋" w:cs="仿宋"/>
              </w:rPr>
            </w:pPr>
            <w:r>
              <w:rPr>
                <w:rFonts w:hint="eastAsia" w:ascii="仿宋" w:hAnsi="仿宋" w:eastAsia="仿宋" w:cs="仿宋"/>
                <w:sz w:val="18"/>
              </w:rPr>
              <w:t>95.8</w:t>
            </w:r>
          </w:p>
        </w:tc>
        <w:tc>
          <w:tcPr>
            <w:tcW w:w="1440" w:type="dxa"/>
          </w:tcPr>
          <w:p w14:paraId="3554D305">
            <w:pPr>
              <w:rPr>
                <w:rFonts w:hint="eastAsia" w:ascii="仿宋" w:hAnsi="仿宋" w:eastAsia="仿宋" w:cs="仿宋"/>
              </w:rPr>
            </w:pPr>
            <w:r>
              <w:rPr>
                <w:rFonts w:hint="eastAsia" w:ascii="仿宋" w:hAnsi="仿宋" w:eastAsia="仿宋" w:cs="仿宋"/>
                <w:sz w:val="18"/>
              </w:rPr>
              <w:t>17.5</w:t>
            </w:r>
          </w:p>
        </w:tc>
      </w:tr>
    </w:tbl>
    <w:p w14:paraId="466BFB5F">
      <w:pPr>
        <w:rPr>
          <w:rFonts w:hint="eastAsia" w:ascii="仿宋" w:hAnsi="仿宋" w:eastAsia="仿宋" w:cs="仿宋"/>
        </w:rPr>
      </w:pPr>
    </w:p>
    <w:p w14:paraId="22077125">
      <w:pPr>
        <w:rPr>
          <w:rFonts w:hint="eastAsia" w:ascii="仿宋" w:hAnsi="仿宋" w:eastAsia="仿宋" w:cs="仿宋"/>
        </w:rPr>
      </w:pPr>
      <w:r>
        <w:rPr>
          <w:rFonts w:hint="eastAsia" w:ascii="仿宋" w:hAnsi="仿宋" w:eastAsia="仿宋" w:cs="仿宋"/>
        </w:rPr>
        <w:t>표 5.7 시스템 확장성 테스트 결과</w:t>
      </w:r>
    </w:p>
    <w:p w14:paraId="19B06304">
      <w:pPr>
        <w:rPr>
          <w:rFonts w:hint="eastAsia" w:ascii="仿宋" w:hAnsi="仿宋" w:eastAsia="仿宋" w:cs="仿宋"/>
        </w:rPr>
      </w:pPr>
      <w:r>
        <w:rPr>
          <w:rFonts w:hint="eastAsia" w:ascii="仿宋" w:hAnsi="仿宋" w:eastAsia="仿宋" w:cs="仿宋"/>
        </w:rPr>
        <w:t>[분석] 100개 노드 환경에서 시스템은 평균 등록 지연 시간 44ms에 불과한 상태로 초당 트랜잭션(TPS) 820건을 안정적으로 유지하여 설계 목표인 500ms 이하를 크게 상회했습니다. 트랜잭션 성공률은 95.8%에 달해 산업 수준의 신뢰성 요구 사항을 충족했습니다. 노드 수가 10개에서 100개로 증가함에 따라 TPS는 1,240건에서 820건으로 약 34% 감소했으며, 스토리지 오버헤드는 4.2%에서 17.5%로 증가하여 블록체인 합의 및 분산 스토리지의 전형적인 선형 오버헤드 증가 특성을 보였습니다. 주목할 점은 100개 노드 미만에서도 TPS가 일반적인 산업 시나리오의 실시간 요구 사항을 훨씬 상회하고 스토리지 오버헤드가 제어 가능한 범위 내에 유지되어 아키텍처 설계의 충분한 확장성 여유를 입증한다는 것입니다.</w:t>
      </w:r>
    </w:p>
    <w:p w14:paraId="2A84C47F">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6400" cy="3429000"/>
            <wp:effectExtent l="0" t="0" r="0" b="0"/>
            <wp:docPr id="19" name="图片 19" descr="translated_image_ko (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nslated_image_ko (7) (1)"/>
                    <pic:cNvPicPr>
                      <a:picLocks noChangeAspect="1"/>
                    </pic:cNvPicPr>
                  </pic:nvPicPr>
                  <pic:blipFill>
                    <a:blip r:embed="rId14"/>
                    <a:stretch>
                      <a:fillRect/>
                    </a:stretch>
                  </pic:blipFill>
                  <pic:spPr>
                    <a:xfrm>
                      <a:off x="0" y="0"/>
                      <a:ext cx="5486400" cy="3429000"/>
                    </a:xfrm>
                    <a:prstGeom prst="rect">
                      <a:avLst/>
                    </a:prstGeom>
                  </pic:spPr>
                </pic:pic>
              </a:graphicData>
            </a:graphic>
          </wp:inline>
        </w:drawing>
      </w:r>
    </w:p>
    <w:p w14:paraId="191AFC9B">
      <w:pPr>
        <w:jc w:val="center"/>
        <w:rPr>
          <w:rFonts w:hint="eastAsia" w:ascii="仿宋" w:hAnsi="仿宋" w:eastAsia="仿宋" w:cs="仿宋"/>
        </w:rPr>
      </w:pPr>
      <w:r>
        <w:rPr>
          <w:rFonts w:hint="eastAsia" w:ascii="仿宋" w:hAnsi="仿宋" w:eastAsia="仿宋" w:cs="仿宋"/>
          <w:i/>
          <w:sz w:val="18"/>
        </w:rPr>
        <w:t>그림 5.6 시스템 확장성 테스트</w:t>
      </w:r>
    </w:p>
    <w:p w14:paraId="1BE660C5">
      <w:pPr>
        <w:rPr>
          <w:rFonts w:hint="eastAsia" w:ascii="仿宋" w:hAnsi="仿宋" w:eastAsia="仿宋" w:cs="仿宋"/>
        </w:rPr>
      </w:pPr>
      <w:r>
        <w:rPr>
          <w:rFonts w:hint="eastAsia" w:ascii="仿宋" w:hAnsi="仿宋" w:eastAsia="仿宋" w:cs="仿宋"/>
        </w:rPr>
        <w:t>또한, 표 5.8은 제안된 방법의 전반적인 성능을 안전 성능 측면에서 두 가지 벤치마크 방식과 비교합니다.</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440"/>
        <w:gridCol w:w="1440"/>
        <w:gridCol w:w="1440"/>
        <w:gridCol w:w="1440"/>
        <w:gridCol w:w="1440"/>
      </w:tblGrid>
      <w:tr w14:paraId="681E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420483">
            <w:pPr>
              <w:rPr>
                <w:rFonts w:hint="eastAsia" w:ascii="仿宋" w:hAnsi="仿宋" w:eastAsia="仿宋" w:cs="仿宋"/>
              </w:rPr>
            </w:pPr>
            <w:r>
              <w:rPr>
                <w:rFonts w:hint="eastAsia" w:ascii="仿宋" w:hAnsi="仿宋" w:eastAsia="仿宋" w:cs="仿宋"/>
                <w:b/>
                <w:sz w:val="18"/>
              </w:rPr>
              <w:t>방법</w:t>
            </w:r>
          </w:p>
        </w:tc>
        <w:tc>
          <w:tcPr>
            <w:tcW w:w="1440" w:type="dxa"/>
          </w:tcPr>
          <w:p w14:paraId="000F5198">
            <w:pPr>
              <w:rPr>
                <w:rFonts w:hint="eastAsia" w:ascii="仿宋" w:hAnsi="仿宋" w:eastAsia="仿宋" w:cs="仿宋"/>
              </w:rPr>
            </w:pPr>
            <w:r>
              <w:rPr>
                <w:rFonts w:hint="eastAsia" w:ascii="仿宋" w:hAnsi="仿宋" w:eastAsia="仿宋" w:cs="仿宋"/>
                <w:b/>
                <w:sz w:val="18"/>
              </w:rPr>
              <w:t>위조품 적발률(%)</w:t>
            </w:r>
          </w:p>
        </w:tc>
        <w:tc>
          <w:tcPr>
            <w:tcW w:w="1440" w:type="dxa"/>
          </w:tcPr>
          <w:p w14:paraId="1EB87E01">
            <w:pPr>
              <w:rPr>
                <w:rFonts w:hint="eastAsia" w:ascii="仿宋" w:hAnsi="仿宋" w:eastAsia="仿宋" w:cs="仿宋"/>
              </w:rPr>
            </w:pPr>
            <w:r>
              <w:rPr>
                <w:rFonts w:hint="eastAsia" w:ascii="仿宋" w:hAnsi="仿宋" w:eastAsia="仿宋" w:cs="仿宋"/>
                <w:b/>
                <w:sz w:val="18"/>
              </w:rPr>
              <w:t>오경보율(%)</w:t>
            </w:r>
          </w:p>
        </w:tc>
        <w:tc>
          <w:tcPr>
            <w:tcW w:w="1440" w:type="dxa"/>
          </w:tcPr>
          <w:p w14:paraId="2D77E964">
            <w:pPr>
              <w:rPr>
                <w:rFonts w:hint="eastAsia" w:ascii="仿宋" w:hAnsi="仿宋" w:eastAsia="仿宋" w:cs="仿宋"/>
              </w:rPr>
            </w:pPr>
            <w:r>
              <w:rPr>
                <w:rFonts w:hint="eastAsia" w:ascii="仿宋" w:hAnsi="仿宋" w:eastAsia="仿宋" w:cs="仿宋"/>
                <w:b/>
                <w:sz w:val="18"/>
              </w:rPr>
              <w:t>보고 누락률(%)</w:t>
            </w:r>
          </w:p>
        </w:tc>
        <w:tc>
          <w:tcPr>
            <w:tcW w:w="1440" w:type="dxa"/>
          </w:tcPr>
          <w:p w14:paraId="26BA9BF1">
            <w:pPr>
              <w:rPr>
                <w:rFonts w:hint="eastAsia" w:ascii="仿宋" w:hAnsi="仿宋" w:eastAsia="仿宋" w:cs="仿宋"/>
              </w:rPr>
            </w:pPr>
            <w:r>
              <w:rPr>
                <w:rFonts w:hint="eastAsia" w:ascii="仿宋" w:hAnsi="仿宋" w:eastAsia="仿宋" w:cs="仿宋"/>
                <w:b/>
                <w:sz w:val="18"/>
              </w:rPr>
              <w:t>감사 추적 일관성</w:t>
            </w:r>
          </w:p>
        </w:tc>
        <w:tc>
          <w:tcPr>
            <w:tcW w:w="1440" w:type="dxa"/>
          </w:tcPr>
          <w:p w14:paraId="2BD02CE9">
            <w:pPr>
              <w:rPr>
                <w:rFonts w:hint="eastAsia" w:ascii="仿宋" w:hAnsi="仿宋" w:eastAsia="仿宋" w:cs="仿宋"/>
              </w:rPr>
            </w:pPr>
            <w:r>
              <w:rPr>
                <w:rFonts w:hint="eastAsia" w:ascii="仿宋" w:hAnsi="仿宋" w:eastAsia="仿宋" w:cs="仿宋"/>
                <w:b/>
                <w:sz w:val="18"/>
              </w:rPr>
              <w:t>개인정보 보호 수준</w:t>
            </w:r>
          </w:p>
        </w:tc>
      </w:tr>
      <w:tr w14:paraId="3544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6CB5F1F">
            <w:pPr>
              <w:rPr>
                <w:rFonts w:hint="eastAsia" w:ascii="仿宋" w:hAnsi="仿宋" w:eastAsia="仿宋" w:cs="仿宋"/>
              </w:rPr>
            </w:pPr>
            <w:r>
              <w:rPr>
                <w:rFonts w:hint="eastAsia" w:ascii="仿宋" w:hAnsi="仿宋" w:eastAsia="仿宋" w:cs="仿宋"/>
                <w:sz w:val="18"/>
              </w:rPr>
              <w:t>중앙 집중식 접근 방식</w:t>
            </w:r>
          </w:p>
        </w:tc>
        <w:tc>
          <w:tcPr>
            <w:tcW w:w="1440" w:type="dxa"/>
          </w:tcPr>
          <w:p w14:paraId="2CBCDBE8">
            <w:pPr>
              <w:rPr>
                <w:rFonts w:hint="eastAsia" w:ascii="仿宋" w:hAnsi="仿宋" w:eastAsia="仿宋" w:cs="仿宋"/>
              </w:rPr>
            </w:pPr>
            <w:r>
              <w:rPr>
                <w:rFonts w:hint="eastAsia" w:ascii="仿宋" w:hAnsi="仿宋" w:eastAsia="仿宋" w:cs="仿宋"/>
                <w:sz w:val="18"/>
              </w:rPr>
              <w:t>71.4</w:t>
            </w:r>
          </w:p>
        </w:tc>
        <w:tc>
          <w:tcPr>
            <w:tcW w:w="1440" w:type="dxa"/>
          </w:tcPr>
          <w:p w14:paraId="2D28B514">
            <w:pPr>
              <w:rPr>
                <w:rFonts w:hint="eastAsia" w:ascii="仿宋" w:hAnsi="仿宋" w:eastAsia="仿宋" w:cs="仿宋"/>
              </w:rPr>
            </w:pPr>
            <w:r>
              <w:rPr>
                <w:rFonts w:hint="eastAsia" w:ascii="仿宋" w:hAnsi="仿宋" w:eastAsia="仿宋" w:cs="仿宋"/>
                <w:sz w:val="18"/>
              </w:rPr>
              <w:t>6.2</w:t>
            </w:r>
          </w:p>
        </w:tc>
        <w:tc>
          <w:tcPr>
            <w:tcW w:w="1440" w:type="dxa"/>
          </w:tcPr>
          <w:p w14:paraId="39721F8B">
            <w:pPr>
              <w:rPr>
                <w:rFonts w:hint="eastAsia" w:ascii="仿宋" w:hAnsi="仿宋" w:eastAsia="仿宋" w:cs="仿宋"/>
              </w:rPr>
            </w:pPr>
            <w:r>
              <w:rPr>
                <w:rFonts w:hint="eastAsia" w:ascii="仿宋" w:hAnsi="仿宋" w:eastAsia="仿宋" w:cs="仿宋"/>
                <w:sz w:val="18"/>
              </w:rPr>
              <w:t>22.4</w:t>
            </w:r>
          </w:p>
        </w:tc>
        <w:tc>
          <w:tcPr>
            <w:tcW w:w="1440" w:type="dxa"/>
          </w:tcPr>
          <w:p w14:paraId="5CC0537A">
            <w:pPr>
              <w:rPr>
                <w:rFonts w:hint="eastAsia" w:ascii="仿宋" w:hAnsi="仿宋" w:eastAsia="仿宋" w:cs="仿宋"/>
              </w:rPr>
            </w:pPr>
            <w:r>
              <w:rPr>
                <w:rFonts w:hint="eastAsia" w:ascii="仿宋" w:hAnsi="仿宋" w:eastAsia="仿宋" w:cs="仿宋"/>
                <w:sz w:val="18"/>
              </w:rPr>
              <w:t>일반적으로</w:t>
            </w:r>
          </w:p>
        </w:tc>
        <w:tc>
          <w:tcPr>
            <w:tcW w:w="1440" w:type="dxa"/>
          </w:tcPr>
          <w:p w14:paraId="2BD37170">
            <w:pPr>
              <w:rPr>
                <w:rFonts w:hint="eastAsia" w:ascii="仿宋" w:hAnsi="仿宋" w:eastAsia="仿宋" w:cs="仿宋"/>
              </w:rPr>
            </w:pPr>
            <w:r>
              <w:rPr>
                <w:rFonts w:hint="eastAsia" w:ascii="仿宋" w:hAnsi="仿宋" w:eastAsia="仿宋" w:cs="仿宋"/>
                <w:sz w:val="18"/>
              </w:rPr>
              <w:t>낮은</w:t>
            </w:r>
          </w:p>
        </w:tc>
      </w:tr>
      <w:tr w14:paraId="13E2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493DF66">
            <w:pPr>
              <w:rPr>
                <w:rFonts w:hint="eastAsia" w:ascii="仿宋" w:hAnsi="仿宋" w:eastAsia="仿宋" w:cs="仿宋"/>
              </w:rPr>
            </w:pPr>
            <w:r>
              <w:rPr>
                <w:rFonts w:hint="eastAsia" w:ascii="仿宋" w:hAnsi="仿宋" w:eastAsia="仿宋" w:cs="仿宋"/>
                <w:sz w:val="18"/>
              </w:rPr>
              <w:t>해시(비블록체인)</w:t>
            </w:r>
          </w:p>
        </w:tc>
        <w:tc>
          <w:tcPr>
            <w:tcW w:w="1440" w:type="dxa"/>
          </w:tcPr>
          <w:p w14:paraId="057E9343">
            <w:pPr>
              <w:rPr>
                <w:rFonts w:hint="eastAsia" w:ascii="仿宋" w:hAnsi="仿宋" w:eastAsia="仿宋" w:cs="仿宋"/>
              </w:rPr>
            </w:pPr>
            <w:r>
              <w:rPr>
                <w:rFonts w:hint="eastAsia" w:ascii="仿宋" w:hAnsi="仿宋" w:eastAsia="仿宋" w:cs="仿宋"/>
                <w:sz w:val="18"/>
              </w:rPr>
              <w:t>88.7</w:t>
            </w:r>
          </w:p>
        </w:tc>
        <w:tc>
          <w:tcPr>
            <w:tcW w:w="1440" w:type="dxa"/>
          </w:tcPr>
          <w:p w14:paraId="14F93DD0">
            <w:pPr>
              <w:rPr>
                <w:rFonts w:hint="eastAsia" w:ascii="仿宋" w:hAnsi="仿宋" w:eastAsia="仿宋" w:cs="仿宋"/>
              </w:rPr>
            </w:pPr>
            <w:r>
              <w:rPr>
                <w:rFonts w:hint="eastAsia" w:ascii="仿宋" w:hAnsi="仿宋" w:eastAsia="仿宋" w:cs="仿宋"/>
                <w:sz w:val="18"/>
              </w:rPr>
              <w:t>4.8</w:t>
            </w:r>
          </w:p>
        </w:tc>
        <w:tc>
          <w:tcPr>
            <w:tcW w:w="1440" w:type="dxa"/>
          </w:tcPr>
          <w:p w14:paraId="7CC5E33F">
            <w:pPr>
              <w:rPr>
                <w:rFonts w:hint="eastAsia" w:ascii="仿宋" w:hAnsi="仿宋" w:eastAsia="仿宋" w:cs="仿宋"/>
              </w:rPr>
            </w:pPr>
            <w:r>
              <w:rPr>
                <w:rFonts w:hint="eastAsia" w:ascii="仿宋" w:hAnsi="仿宋" w:eastAsia="仿宋" w:cs="仿宋"/>
                <w:sz w:val="18"/>
              </w:rPr>
              <w:t>6.5</w:t>
            </w:r>
          </w:p>
        </w:tc>
        <w:tc>
          <w:tcPr>
            <w:tcW w:w="1440" w:type="dxa"/>
          </w:tcPr>
          <w:p w14:paraId="55AFE23D">
            <w:pPr>
              <w:rPr>
                <w:rFonts w:hint="eastAsia" w:ascii="仿宋" w:hAnsi="仿宋" w:eastAsia="仿宋" w:cs="仿宋"/>
              </w:rPr>
            </w:pPr>
            <w:r>
              <w:rPr>
                <w:rFonts w:hint="eastAsia" w:ascii="仿宋" w:hAnsi="仿宋" w:eastAsia="仿宋" w:cs="仿宋"/>
                <w:sz w:val="18"/>
              </w:rPr>
              <w:t>더 높은</w:t>
            </w:r>
          </w:p>
        </w:tc>
        <w:tc>
          <w:tcPr>
            <w:tcW w:w="1440" w:type="dxa"/>
          </w:tcPr>
          <w:p w14:paraId="00423C55">
            <w:pPr>
              <w:rPr>
                <w:rFonts w:hint="eastAsia" w:ascii="仿宋" w:hAnsi="仿宋" w:eastAsia="仿宋" w:cs="仿宋"/>
              </w:rPr>
            </w:pPr>
            <w:r>
              <w:rPr>
                <w:rFonts w:hint="eastAsia" w:ascii="仿宋" w:hAnsi="仿宋" w:eastAsia="仿宋" w:cs="仿宋"/>
                <w:sz w:val="18"/>
              </w:rPr>
              <w:t>가운데</w:t>
            </w:r>
          </w:p>
        </w:tc>
      </w:tr>
      <w:tr w14:paraId="7F13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F53988B">
            <w:pPr>
              <w:rPr>
                <w:rFonts w:hint="eastAsia" w:ascii="仿宋" w:hAnsi="仿宋" w:eastAsia="仿宋" w:cs="仿宋"/>
              </w:rPr>
            </w:pPr>
            <w:r>
              <w:rPr>
                <w:rFonts w:hint="eastAsia" w:ascii="仿宋" w:hAnsi="仿宋" w:eastAsia="仿宋" w:cs="仿宋"/>
                <w:sz w:val="18"/>
              </w:rPr>
              <w:t>본 논문에서 제안하는 방법</w:t>
            </w:r>
          </w:p>
        </w:tc>
        <w:tc>
          <w:tcPr>
            <w:tcW w:w="1440" w:type="dxa"/>
          </w:tcPr>
          <w:p w14:paraId="5352CBA2">
            <w:pPr>
              <w:rPr>
                <w:rFonts w:hint="eastAsia" w:ascii="仿宋" w:hAnsi="仿宋" w:eastAsia="仿宋" w:cs="仿宋"/>
              </w:rPr>
            </w:pPr>
            <w:r>
              <w:rPr>
                <w:rFonts w:hint="eastAsia" w:ascii="仿宋" w:hAnsi="仿宋" w:eastAsia="仿宋" w:cs="仿宋"/>
                <w:sz w:val="18"/>
              </w:rPr>
              <w:t>98.9</w:t>
            </w:r>
          </w:p>
        </w:tc>
        <w:tc>
          <w:tcPr>
            <w:tcW w:w="1440" w:type="dxa"/>
          </w:tcPr>
          <w:p w14:paraId="132D9D27">
            <w:pPr>
              <w:rPr>
                <w:rFonts w:hint="eastAsia" w:ascii="仿宋" w:hAnsi="仿宋" w:eastAsia="仿宋" w:cs="仿宋"/>
              </w:rPr>
            </w:pPr>
            <w:r>
              <w:rPr>
                <w:rFonts w:hint="eastAsia" w:ascii="仿宋" w:hAnsi="仿宋" w:eastAsia="仿宋" w:cs="仿宋"/>
                <w:sz w:val="18"/>
              </w:rPr>
              <w:t>1.1</w:t>
            </w:r>
          </w:p>
        </w:tc>
        <w:tc>
          <w:tcPr>
            <w:tcW w:w="1440" w:type="dxa"/>
          </w:tcPr>
          <w:p w14:paraId="61A203A3">
            <w:pPr>
              <w:rPr>
                <w:rFonts w:hint="eastAsia" w:ascii="仿宋" w:hAnsi="仿宋" w:eastAsia="仿宋" w:cs="仿宋"/>
              </w:rPr>
            </w:pPr>
            <w:r>
              <w:rPr>
                <w:rFonts w:hint="eastAsia" w:ascii="仿宋" w:hAnsi="仿宋" w:eastAsia="仿宋" w:cs="仿宋"/>
                <w:sz w:val="18"/>
              </w:rPr>
              <w:t>0.0</w:t>
            </w:r>
          </w:p>
        </w:tc>
        <w:tc>
          <w:tcPr>
            <w:tcW w:w="1440" w:type="dxa"/>
          </w:tcPr>
          <w:p w14:paraId="1818887A">
            <w:pPr>
              <w:rPr>
                <w:rFonts w:hint="eastAsia" w:ascii="仿宋" w:hAnsi="仿宋" w:eastAsia="仿宋" w:cs="仿宋"/>
              </w:rPr>
            </w:pPr>
            <w:r>
              <w:rPr>
                <w:rFonts w:hint="eastAsia" w:ascii="仿宋" w:hAnsi="仿宋" w:eastAsia="仿宋" w:cs="仿宋"/>
                <w:sz w:val="18"/>
              </w:rPr>
              <w:t>매우 높은</w:t>
            </w:r>
          </w:p>
        </w:tc>
        <w:tc>
          <w:tcPr>
            <w:tcW w:w="1440" w:type="dxa"/>
          </w:tcPr>
          <w:p w14:paraId="74295AFD">
            <w:pPr>
              <w:rPr>
                <w:rFonts w:hint="eastAsia" w:ascii="仿宋" w:hAnsi="仿宋" w:eastAsia="仿宋" w:cs="仿宋"/>
              </w:rPr>
            </w:pPr>
            <w:r>
              <w:rPr>
                <w:rFonts w:hint="eastAsia" w:ascii="仿宋" w:hAnsi="仿宋" w:eastAsia="仿宋" w:cs="仿宋"/>
                <w:sz w:val="18"/>
              </w:rPr>
              <w:t>높은 (DP+SMPC)</w:t>
            </w:r>
          </w:p>
        </w:tc>
      </w:tr>
    </w:tbl>
    <w:p w14:paraId="78673273">
      <w:pPr>
        <w:rPr>
          <w:rFonts w:hint="eastAsia" w:ascii="仿宋" w:hAnsi="仿宋" w:eastAsia="仿宋" w:cs="仿宋"/>
        </w:rPr>
      </w:pPr>
    </w:p>
    <w:p w14:paraId="0D3120B8">
      <w:pPr>
        <w:rPr>
          <w:rFonts w:hint="eastAsia" w:ascii="仿宋" w:hAnsi="仿宋" w:eastAsia="仿宋" w:cs="仿宋"/>
        </w:rPr>
      </w:pPr>
      <w:r>
        <w:rPr>
          <w:rFonts w:hint="eastAsia" w:ascii="仿宋" w:hAnsi="仿宋" w:eastAsia="仿宋" w:cs="仿宋"/>
        </w:rPr>
        <w:t>표 5.8 안전 성능 종합 비교</w:t>
      </w:r>
    </w:p>
    <w:p w14:paraId="34470FAC">
      <w:pPr>
        <w:rPr>
          <w:rFonts w:hint="eastAsia" w:ascii="仿宋" w:hAnsi="仿宋" w:eastAsia="仿宋" w:cs="仿宋"/>
        </w:rPr>
      </w:pPr>
      <w:r>
        <w:rPr>
          <w:rFonts w:hint="eastAsia" w:ascii="仿宋" w:hAnsi="仿宋" w:eastAsia="仿宋" w:cs="仿宋"/>
        </w:rPr>
        <w:t>[분석] 제안된 방법은 모든 보안 측면에서 비교 대상 방식보다 현저히 우수한 성능을 보이며, 98.9%의 위조 탐지율, 1.1%의 낮은 오탐률, 그리고 0.0%의 미탐률을 달성했습니다. 특히 0.0%의 미탐률은 블록체인 증거 저장 메커니즘이 모든 모델 거래를 누락 없이 기록할 수 있음을 보여주는 중요한 지표이며, 이는 ISO 27001 및 GDPR 감사 원칙과 같은 산업 규제 준수 감사 요건을 충족하는 데 필수적인 역량입니다.</w:t>
      </w:r>
    </w:p>
    <w:p w14:paraId="062E5487">
      <w:pPr>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5486400" cy="3429000"/>
            <wp:effectExtent l="0" t="0" r="0" b="0"/>
            <wp:docPr id="20" name="图片 20" descr="translated_image_k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ranslated_image_ko (8)"/>
                    <pic:cNvPicPr>
                      <a:picLocks noChangeAspect="1"/>
                    </pic:cNvPicPr>
                  </pic:nvPicPr>
                  <pic:blipFill>
                    <a:blip r:embed="rId15"/>
                    <a:stretch>
                      <a:fillRect/>
                    </a:stretch>
                  </pic:blipFill>
                  <pic:spPr>
                    <a:xfrm>
                      <a:off x="0" y="0"/>
                      <a:ext cx="5486400" cy="3429000"/>
                    </a:xfrm>
                    <a:prstGeom prst="rect">
                      <a:avLst/>
                    </a:prstGeom>
                  </pic:spPr>
                </pic:pic>
              </a:graphicData>
            </a:graphic>
          </wp:inline>
        </w:drawing>
      </w:r>
    </w:p>
    <w:p w14:paraId="2BA7B155">
      <w:pPr>
        <w:jc w:val="center"/>
        <w:rPr>
          <w:rFonts w:hint="eastAsia" w:ascii="仿宋" w:hAnsi="仿宋" w:eastAsia="仿宋" w:cs="仿宋"/>
        </w:rPr>
      </w:pPr>
      <w:r>
        <w:rPr>
          <w:rFonts w:hint="eastAsia" w:ascii="仿宋" w:hAnsi="仿宋" w:eastAsia="仿宋" w:cs="仿宋"/>
          <w:i/>
          <w:sz w:val="18"/>
        </w:rPr>
        <w:t>그림 5.7 안전 성능의 종합 비교</w:t>
      </w:r>
    </w:p>
    <w:p w14:paraId="6EF2DC58">
      <w:pPr>
        <w:pStyle w:val="4"/>
        <w:rPr>
          <w:rFonts w:hint="eastAsia" w:ascii="仿宋" w:hAnsi="仿宋" w:eastAsia="仿宋" w:cs="仿宋"/>
        </w:rPr>
      </w:pPr>
      <w:bookmarkStart w:id="58" w:name="_Toc19156"/>
      <w:r>
        <w:rPr>
          <w:rFonts w:hint="eastAsia" w:ascii="仿宋" w:hAnsi="仿宋" w:eastAsia="仿宋" w:cs="仿宋"/>
        </w:rPr>
        <w:t>5.6 종합 분석 및 논의</w:t>
      </w:r>
      <w:bookmarkEnd w:id="58"/>
    </w:p>
    <w:p w14:paraId="53BFCECB">
      <w:pPr>
        <w:pStyle w:val="5"/>
        <w:rPr>
          <w:rFonts w:hint="eastAsia" w:ascii="仿宋" w:hAnsi="仿宋" w:eastAsia="仿宋" w:cs="仿宋"/>
        </w:rPr>
      </w:pPr>
      <w:bookmarkStart w:id="59" w:name="_Toc27785"/>
      <w:r>
        <w:rPr>
          <w:rFonts w:hint="eastAsia" w:ascii="仿宋" w:hAnsi="仿宋" w:eastAsia="仿宋" w:cs="仿宋"/>
        </w:rPr>
        <w:t>5.6.1 연구 가설 검증</w:t>
      </w:r>
      <w:bookmarkEnd w:id="59"/>
    </w:p>
    <w:p w14:paraId="1BE49895">
      <w:pPr>
        <w:rPr>
          <w:rFonts w:hint="eastAsia" w:ascii="仿宋" w:hAnsi="仿宋" w:eastAsia="仿宋" w:cs="仿宋"/>
        </w:rPr>
      </w:pPr>
      <w:r>
        <w:rPr>
          <w:rFonts w:hint="eastAsia" w:ascii="仿宋" w:hAnsi="仿宋" w:eastAsia="仿宋" w:cs="仿宋"/>
        </w:rPr>
        <w:t>위의 체계적인 실험 결과를 바탕으로, 다섯 가지 연구 가설 검증에 대한 결론은 다음과 같이 요약된다.</w:t>
      </w:r>
    </w:p>
    <w:p w14:paraId="2A4E3784">
      <w:pPr>
        <w:rPr>
          <w:rFonts w:hint="eastAsia" w:ascii="仿宋" w:hAnsi="仿宋" w:eastAsia="仿宋" w:cs="仿宋"/>
        </w:rPr>
      </w:pPr>
      <w:r>
        <w:rPr>
          <w:rFonts w:hint="eastAsia" w:ascii="仿宋" w:hAnsi="仿宋" w:eastAsia="仿宋" w:cs="仿宋"/>
        </w:rPr>
        <w:t>H1 (제안된 방법은 비독립동일분포 환경에서 정확도 측면에서 상당한 이점을 갖는다): 타당함. 제안된 방법은 CIFAR-10 및 CIFAR-100 데이터셋에서 FedAvg 대비 각각 3.17%p 및 3.16%p의 정확도 향상을 보였으며, 모든 데이터셋에서 비교 방법보다 일관되게 우수한 성능을 나타냈다.</w:t>
      </w:r>
    </w:p>
    <w:p w14:paraId="48F45577">
      <w:pPr>
        <w:rPr>
          <w:rFonts w:hint="eastAsia" w:ascii="仿宋" w:hAnsi="仿宋" w:eastAsia="仿宋" w:cs="仿宋"/>
        </w:rPr>
      </w:pPr>
      <w:r>
        <w:rPr>
          <w:rFonts w:hint="eastAsia" w:ascii="仿宋" w:hAnsi="仿宋" w:eastAsia="仿宋" w:cs="仿宋"/>
        </w:rPr>
        <w:t>가설 H2 (섀플리 인센티브 메커니즘은 분배적 공정성을 유의미하게 향상시킨다): 타당함. 지니 계수는 0.285로 감소했고, 고품질 공급자의 비율은 56.7%로 증가했으며, 섀플리 편향은 0.071에 불과하여 공정성과 효율성 간의 균형을 달성했다.</w:t>
      </w:r>
    </w:p>
    <w:p w14:paraId="44159CD5">
      <w:pPr>
        <w:rPr>
          <w:rFonts w:hint="eastAsia" w:ascii="仿宋" w:hAnsi="仿宋" w:eastAsia="仿宋" w:cs="仿宋"/>
        </w:rPr>
      </w:pPr>
      <w:r>
        <w:rPr>
          <w:rFonts w:hint="eastAsia" w:ascii="仿宋" w:hAnsi="仿宋" w:eastAsia="仿宋" w:cs="仿宋"/>
        </w:rPr>
        <w:t>H3 (차등 프라이버시는 고전적인 프라이버시-정확도 상충 관계를 수반합니다): 이는 사실입니다. 엡실론=1.0일 때 정확도 손실은 1.78pp이고, MIA 공격의 성공률은 82.0% 감소합니다. 상충 관계 곡선은 이론적 예측과 일치합니다.</w:t>
      </w:r>
    </w:p>
    <w:p w14:paraId="00AC23FD">
      <w:pPr>
        <w:rPr>
          <w:rFonts w:hint="eastAsia" w:ascii="仿宋" w:hAnsi="仿宋" w:eastAsia="仿宋" w:cs="仿宋"/>
        </w:rPr>
      </w:pPr>
      <w:r>
        <w:rPr>
          <w:rFonts w:hint="eastAsia" w:ascii="仿宋" w:hAnsi="仿宋" w:eastAsia="仿宋" w:cs="仿宋"/>
        </w:rPr>
        <w:t>H4 (블록체인 증거 저장으로 신뢰성 향상, 하지만 허용 가능한 시스템 오버헤드 발생): 타당함. 위조 탐지율은 98.9%, 오탐률은 0%이며, 100개 노드에 대한 저장 오버헤드 17.5%는 제어 가능한 범위 내에 있음.</w:t>
      </w:r>
    </w:p>
    <w:p w14:paraId="294D20AF">
      <w:pPr>
        <w:rPr>
          <w:rFonts w:hint="eastAsia" w:ascii="仿宋" w:hAnsi="仿宋" w:eastAsia="仿宋" w:cs="仿宋"/>
        </w:rPr>
      </w:pPr>
      <w:r>
        <w:rPr>
          <w:rFonts w:hint="eastAsia" w:ascii="仿宋" w:hAnsi="仿宋" w:eastAsia="仿宋" w:cs="仿宋"/>
        </w:rPr>
        <w:t>H5 (시스템이 100개 노드에서 안정적이고 효율적으로 유지됨): 성공. 트랜잭션 성공률 95.8%, TPS=820, 등록 지연 시간 44ms, 모든 지표가 설계 목표를 충족하거나 초과했습니다.</w:t>
      </w:r>
    </w:p>
    <w:p w14:paraId="33464304">
      <w:pPr>
        <w:pStyle w:val="5"/>
        <w:rPr>
          <w:rFonts w:hint="eastAsia" w:ascii="仿宋" w:hAnsi="仿宋" w:eastAsia="仿宋" w:cs="仿宋"/>
        </w:rPr>
      </w:pPr>
      <w:bookmarkStart w:id="60" w:name="_Toc30623"/>
      <w:r>
        <w:rPr>
          <w:rFonts w:hint="eastAsia" w:ascii="仿宋" w:hAnsi="仿宋" w:eastAsia="仿宋" w:cs="仿宋"/>
        </w:rPr>
        <w:t>5.6.2 삼중 딜레마에 대한 실증적 분석</w:t>
      </w:r>
      <w:bookmarkEnd w:id="60"/>
    </w:p>
    <w:p w14:paraId="25FBD161">
      <w:pPr>
        <w:rPr>
          <w:rFonts w:hint="eastAsia" w:ascii="仿宋" w:hAnsi="仿宋" w:eastAsia="仿宋" w:cs="仿宋"/>
        </w:rPr>
      </w:pPr>
      <w:r>
        <w:rPr>
          <w:rFonts w:hint="eastAsia" w:ascii="仿宋" w:hAnsi="仿宋" w:eastAsia="仿宋" w:cs="仿宋"/>
        </w:rPr>
        <w:t>위의 실험 결과를 바탕으로, 본 연구는 그림 5.8의 레이더 차트에서 볼 수 있듯이 AI 모델 거래 시장에 내재된 삼중고 관계에 대한 실증적 정량 분석을 최초로 수행했다. 즉, 모델 성능(정확도), 개인정보 보호(엡실론 강도), 거래 신뢰성(블록체인 오버헤드/탐지율) 사이에는 양립 불가능한 구조적 긴장이 존재하며, 각각의 이론적 최적성을 동시에 달성하는 것은 불가능하다는 것이다.</w:t>
      </w:r>
    </w:p>
    <w:p w14:paraId="30ADF096">
      <w:pPr>
        <w:rPr>
          <w:rFonts w:hint="eastAsia" w:ascii="仿宋" w:hAnsi="仿宋" w:eastAsia="仿宋" w:cs="仿宋"/>
        </w:rPr>
      </w:pPr>
      <w:r>
        <w:rPr>
          <w:rFonts w:hint="eastAsia" w:ascii="仿宋" w:hAnsi="仿宋" w:eastAsia="仿宋" w:cs="仿宋"/>
        </w:rPr>
        <w:t>그러나 실험 데이터는 신중한 아키텍처 설계와 파라미터 조정을 통해 이 삼원 제약 조건 공간 내에서 실질적으로 최적의 솔루션(파레토 최적점)을 찾을 수 있음을 보여줍니다. 본 연구에서는 다음과 같은 최적 작동점을 권장합니다: 엡실론=1.0, 모델 정확도 79.81%(CIFAR-10 비독립동일분포), TPS=820, 위조 탐지율 98.9% - 이 구성은 충분한 개인정보 보호와 신뢰성을 보장하면서 모델 성능을 극대화합니다. 이러한 실증적 결과는 산업 현장 배포 시 파라미터 선택에 대한 명확한 의사결정 기준을 제공합니다.</w:t>
      </w:r>
      <w:bookmarkStart w:id="69" w:name="_GoBack"/>
      <w:bookmarkEnd w:id="69"/>
      <w:r>
        <w:rPr>
          <w:rFonts w:hint="eastAsia" w:ascii="仿宋" w:hAnsi="仿宋" w:eastAsia="仿宋" w:cs="仿宋"/>
        </w:rPr>
        <w:br w:type="page"/>
      </w:r>
    </w:p>
    <w:p w14:paraId="489B1BD4">
      <w:pPr>
        <w:pStyle w:val="3"/>
        <w:jc w:val="center"/>
        <w:rPr>
          <w:rFonts w:hint="eastAsia" w:ascii="仿宋" w:hAnsi="仿宋" w:eastAsia="仿宋" w:cs="仿宋"/>
          <w:sz w:val="36"/>
          <w:szCs w:val="36"/>
        </w:rPr>
      </w:pPr>
      <w:bookmarkStart w:id="61" w:name="_Toc23282"/>
      <w:r>
        <w:rPr>
          <w:rFonts w:hint="eastAsia" w:ascii="仿宋" w:hAnsi="仿宋" w:eastAsia="仿宋" w:cs="仿宋"/>
          <w:sz w:val="36"/>
          <w:szCs w:val="36"/>
        </w:rPr>
        <w:t>제6장 결론 및 전망</w:t>
      </w:r>
      <w:bookmarkEnd w:id="61"/>
    </w:p>
    <w:p w14:paraId="71B6FB8F">
      <w:pPr>
        <w:pStyle w:val="4"/>
        <w:rPr>
          <w:rFonts w:hint="eastAsia" w:ascii="仿宋" w:hAnsi="仿宋" w:eastAsia="仿宋" w:cs="仿宋"/>
        </w:rPr>
      </w:pPr>
      <w:bookmarkStart w:id="62" w:name="_Toc25512"/>
      <w:r>
        <w:rPr>
          <w:rFonts w:hint="eastAsia" w:ascii="仿宋" w:hAnsi="仿宋" w:eastAsia="仿宋" w:cs="仿宋"/>
        </w:rPr>
        <w:t>6.1 연구 요약</w:t>
      </w:r>
      <w:bookmarkEnd w:id="62"/>
    </w:p>
    <w:p w14:paraId="060447C7">
      <w:pPr>
        <w:rPr>
          <w:rFonts w:hint="eastAsia" w:ascii="仿宋" w:hAnsi="仿宋" w:eastAsia="仿宋" w:cs="仿宋"/>
        </w:rPr>
      </w:pPr>
      <w:r>
        <w:rPr>
          <w:rFonts w:hint="eastAsia" w:ascii="仿宋" w:hAnsi="仿宋" w:eastAsia="仿宋" w:cs="仿宋"/>
        </w:rPr>
        <w:t>본 연구는 인더스트리 5.0 패러다임 하에서 인간-기계 협업, 분산 지능, 지속가능성이라는 세 가지 핵심 요구사항에 초점을 맞춘다. 이론적 아키텍처, 메커니즘 설계, 시스템 검증의 세 가지 수준에서 인더스트리 5.0에 최적화된 AI 모델 거래 시장을 위한 완벽한 솔루션을 체계적으로 구축한다. 주요 연구 결과는 다음과 같은 세 가지 측면으로 요약할 수 있다.</w:t>
      </w:r>
    </w:p>
    <w:p w14:paraId="08470ED2">
      <w:pPr>
        <w:rPr>
          <w:rFonts w:hint="eastAsia" w:ascii="仿宋" w:hAnsi="仿宋" w:eastAsia="仿宋" w:cs="仿宋"/>
        </w:rPr>
      </w:pPr>
      <w:r>
        <w:rPr>
          <w:rFonts w:hint="eastAsia" w:ascii="仿宋" w:hAnsi="仿宋" w:eastAsia="仿宋" w:cs="仿宋"/>
        </w:rPr>
        <w:t>본 논문은 아키텍처 설계 측면에서 엣지 컴퓨팅, 연합 학습, 프라이버시 컴퓨팅, 블록체인 기술을 통합한 5계층 하이브리드 아키텍처를 제안합니다. 이 아키텍처는 분산 제어의 보안 이점과 중앙 집중식 실행의 효율성 이점을 혁신적으로 결합합니다. 애플리케이션 계층을 상호 작용 진입점으로, 서비스 계층을 비즈니스 허브로, 연합 학습 계층을 협업 엔진으로, 프라이버시 컴퓨팅 계층을 보안 장벽으로, 블록체인 계층을 신뢰 기반으로 활용하여 완전한 수직적 기술 스택을 구성합니다.</w:t>
      </w:r>
    </w:p>
    <w:p w14:paraId="3F172CE1">
      <w:pPr>
        <w:rPr>
          <w:rFonts w:hint="eastAsia" w:ascii="仿宋" w:hAnsi="仿宋" w:eastAsia="仿宋" w:cs="仿宋"/>
        </w:rPr>
      </w:pPr>
      <w:r>
        <w:rPr>
          <w:rFonts w:hint="eastAsia" w:ascii="仿宋" w:hAnsi="仿宋" w:eastAsia="仿宋" w:cs="仿宋"/>
        </w:rPr>
        <w:t>본 논문은 메커니즘 설계 수준에서 계약 이론과 샤플리 값을 혁신적으로 통합하여 2계층 동적 인센티브 메커니즘을 제시합니다. 첫 번째 계층은 3단계 품질 계약 메뉴를 통해 정보 비대칭 상황에서 공급자 자기 선택 문제를 해결하고, 메커니즘 설계 관점에서 역선택과 도덕적 해이를 억제합니다. 두 번째 계층은 TMC-샤플리 근사 알고리즘을 통해 한계 기여도에 정확히 부합하는 공정한 배분을 실현하여, AI 모델 시장의 보상 시스템에 공정성이라는 경제적 공리를 도입합니다. 다차원적 기여도 평가 모델은 모델 품질, 데이터 가치, 계산 투입량, 시장 평판을 통합된 프레임워크에 포함시켜 인센티브의 공정성을 보장하는 기술적 보증을 제공합니다.</w:t>
      </w:r>
    </w:p>
    <w:p w14:paraId="2F5F7A3B">
      <w:pPr>
        <w:rPr>
          <w:rFonts w:hint="eastAsia" w:ascii="仿宋" w:hAnsi="仿宋" w:eastAsia="仿宋" w:cs="仿宋"/>
        </w:rPr>
      </w:pPr>
      <w:r>
        <w:rPr>
          <w:rFonts w:hint="eastAsia" w:ascii="仿宋" w:hAnsi="仿宋" w:eastAsia="仿宋" w:cs="仿宋"/>
        </w:rPr>
        <w:t>실험적 검증 단계에서, 본 연구는 프로토타입 시스템 구현과 체계적인 다차원 실험을 통해 제안된 방식의 타당성과 우수성을 종합적으로 검증했습니다. 연합 학습 실험 결과, 제안된 방식은 비독립동일분포(Non-IID) 환경에서 FedAvg 대비 최대 3.17%포인트의 정확도 향상을 보였습니다. 인센티브 메커니즘 실험에서는 Shapley 값 할당을 통해 지니 계수를 0.285까지 낮추고 고품질 제공자 비율을 56.7%까지 증가시킬 수 있음을 확인했습니다. 개인정보 보호 실험에서는 epsilon=1.0일 때 공격 방어율 82.0% 향상과 정확도 손실 1.78%포인트라는 허용 가능한 수준의 균형을 검증했습니다. 시스템 성능 실험에서는 100개 노드 환경에서 초당 820건의 트랜잭션 처리량과 95.8%의 트랜잭션 성공률을 달성하여 산업 수준의 성능을 입증했습니다.</w:t>
      </w:r>
    </w:p>
    <w:p w14:paraId="39F094FA">
      <w:pPr>
        <w:pStyle w:val="4"/>
        <w:rPr>
          <w:rFonts w:hint="eastAsia" w:ascii="仿宋" w:hAnsi="仿宋" w:eastAsia="仿宋" w:cs="仿宋"/>
        </w:rPr>
      </w:pPr>
      <w:bookmarkStart w:id="63" w:name="_Toc12325"/>
      <w:r>
        <w:rPr>
          <w:rFonts w:hint="eastAsia" w:ascii="仿宋" w:hAnsi="仿宋" w:eastAsia="仿宋" w:cs="仿宋"/>
        </w:rPr>
        <w:t>6.2 학문적 및 실질적 함의</w:t>
      </w:r>
      <w:bookmarkEnd w:id="63"/>
    </w:p>
    <w:p w14:paraId="5084BDC9">
      <w:pPr>
        <w:pStyle w:val="5"/>
        <w:rPr>
          <w:rFonts w:hint="eastAsia" w:ascii="仿宋" w:hAnsi="仿宋" w:eastAsia="仿宋" w:cs="仿宋"/>
        </w:rPr>
      </w:pPr>
      <w:bookmarkStart w:id="64" w:name="_Toc23229"/>
      <w:r>
        <w:rPr>
          <w:rFonts w:hint="eastAsia" w:ascii="仿宋" w:hAnsi="仿宋" w:eastAsia="仿宋" w:cs="仿宋"/>
        </w:rPr>
        <w:t>6.2.1 학술적 기여</w:t>
      </w:r>
      <w:bookmarkEnd w:id="64"/>
    </w:p>
    <w:p w14:paraId="771FC9B0">
      <w:pPr>
        <w:rPr>
          <w:rFonts w:hint="eastAsia" w:ascii="仿宋" w:hAnsi="仿宋" w:eastAsia="仿宋" w:cs="仿宋"/>
        </w:rPr>
      </w:pPr>
      <w:r>
        <w:rPr>
          <w:rFonts w:hint="eastAsia" w:ascii="仿宋" w:hAnsi="仿宋" w:eastAsia="仿宋" w:cs="仿宋"/>
        </w:rPr>
        <w:t>본 연구의 학술적 기여는 다음과 같은 세 가지 측면에서 나타납니다. 첫째, 엣지 컴퓨팅, 연합 학습, 블록체인, 프라이버시 컴퓨팅을 통합한 AI 모델 거래 시장 아키텍처를 최초로 제안하여 분산형 AI 시스템 설계에 대한 새로운 연구 방향을 제시합니다. 이 아키텍처의 설계 패러다임, 즉 분산 제어와 중앙 집중식 실행의 계층적 융합은 유사한 대규모 분산형 지능형 시스템 설계에 방법론적 참고 가치를 지닙니다. 둘째, 계약 이론, 샤플리 값, 차분 프라이버시 개념을 각각의 독립적인 학문 분야에서 AI 모델 거래 시장을 위한 통합 분석 프레임워크에 도입하여 정보 비대칭 상황에서 인센티브 호환 메커니즘 설계를 위한 이론적 모델을 구축합니다. 셋째, 체계적인 실험을 통해 AI 모델 시장의 삼자적 상충 관계에 대한 실증적 정량 분석을 최초로 수행하여 이 분야의 후속 연구에 중요한 벤치마크 데이터와 이론적 참고 자료를 제공합니다.</w:t>
      </w:r>
    </w:p>
    <w:p w14:paraId="30F54BC4">
      <w:pPr>
        <w:pStyle w:val="5"/>
        <w:rPr>
          <w:rFonts w:hint="eastAsia" w:ascii="仿宋" w:hAnsi="仿宋" w:eastAsia="仿宋" w:cs="仿宋"/>
        </w:rPr>
      </w:pPr>
      <w:bookmarkStart w:id="65" w:name="_Toc7929"/>
      <w:r>
        <w:rPr>
          <w:rFonts w:hint="eastAsia" w:ascii="仿宋" w:hAnsi="仿宋" w:eastAsia="仿宋" w:cs="仿宋"/>
        </w:rPr>
        <w:t>6.2.2 실용적 가치</w:t>
      </w:r>
      <w:bookmarkEnd w:id="65"/>
    </w:p>
    <w:p w14:paraId="269E2F39">
      <w:pPr>
        <w:rPr>
          <w:rFonts w:hint="eastAsia" w:ascii="仿宋" w:hAnsi="仿宋" w:eastAsia="仿宋" w:cs="仿宋"/>
        </w:rPr>
      </w:pPr>
      <w:r>
        <w:rPr>
          <w:rFonts w:hint="eastAsia" w:ascii="仿宋" w:hAnsi="仿宋" w:eastAsia="仿宋" w:cs="仿宋"/>
        </w:rPr>
        <w:t>실질적인 측면에서, 본 연구 결과는 직접적인 적용 및 변혁 잠재력을 지니고 있습니다. 첫째, 제안된 5계층 아키텍처와 프로토타입 시스템은 제조, 물류, 에너지 관리와 같은 산업 분야에서 AI 모델 공유 및 협업 학습 플랫폼 구축을 위한 실질적인 참고 모델 역할을 하여, 기업들이 자체 시스템을 개발하는 데 필요한 기술적 진입 장벽과 시행착오 비용을 줄여줍니다. 둘째, 샤플리 값 기반의 공정한 배분 메커니즘은 기업 간 모델 교환 및 협업에서 오랫동안 지속되어 온 기여도 측정 및 이익 분배에 대한 논쟁에 객관적이고 검증 가능한 해결책을 제시하여, 상호 신뢰를 바탕으로 한 AI 생태계 파트너십 구축에 기여합니다. 셋째, 차분 프라이버시(DPP)와 SMPC를 통합한 개인정보 보호 프레임워크는 기업들이 GDPR 및 데이터 보안법과 같은 엄격한 규정을 준수하면서 협업 AI에 참여할 수 있는 기술적으로 실현 가능한 경로를 제공하여, 규정 준수 요건과 기술 구현 간의 격차를 해소합니다.</w:t>
      </w:r>
    </w:p>
    <w:p w14:paraId="2C59B343">
      <w:pPr>
        <w:pStyle w:val="4"/>
        <w:rPr>
          <w:rFonts w:hint="eastAsia" w:ascii="仿宋" w:hAnsi="仿宋" w:eastAsia="仿宋" w:cs="仿宋"/>
        </w:rPr>
      </w:pPr>
      <w:bookmarkStart w:id="66" w:name="_Toc27055"/>
      <w:r>
        <w:rPr>
          <w:rFonts w:hint="eastAsia" w:ascii="仿宋" w:hAnsi="仿宋" w:eastAsia="仿宋" w:cs="仿宋"/>
        </w:rPr>
        <w:t>6.3 연구의 한계점 및 향후 연구 방향</w:t>
      </w:r>
      <w:bookmarkEnd w:id="66"/>
    </w:p>
    <w:p w14:paraId="3A061023">
      <w:pPr>
        <w:rPr>
          <w:rFonts w:hint="eastAsia" w:ascii="仿宋" w:hAnsi="仿宋" w:eastAsia="仿宋" w:cs="仿宋"/>
        </w:rPr>
      </w:pPr>
      <w:r>
        <w:rPr>
          <w:rFonts w:hint="eastAsia" w:ascii="仿宋" w:hAnsi="仿宋" w:eastAsia="仿宋" w:cs="仿宋"/>
        </w:rPr>
        <w:t>앞서 언급한 결과를 얻는 과정에서, 본 연구는 몇 가지 한계점도 가지고 있으며, 이는 향후 연구 방향을 제시해 줄 것이므로 반드시 고려해야 한다.</w:t>
      </w:r>
    </w:p>
    <w:p w14:paraId="588A536F">
      <w:pPr>
        <w:rPr>
          <w:rFonts w:hint="eastAsia" w:ascii="仿宋" w:hAnsi="仿宋" w:eastAsia="仿宋" w:cs="仿宋"/>
        </w:rPr>
      </w:pPr>
      <w:r>
        <w:rPr>
          <w:rFonts w:hint="eastAsia" w:ascii="仿宋" w:hAnsi="仿宋" w:eastAsia="仿宋" w:cs="仿宋"/>
        </w:rPr>
        <w:t>첫째, 실험 규모에 한계가 있습니다. 현재 실험은 최대 100개의 시뮬레이션 노드를 사용하는 환경에서 진행됩니다. 이는 일반적인 중소 규모 산업 시나리오를 포괄하지만, 대규모 다국적 제조 기업에서 실제로 수천 개의 엣지 디바이스를 배포하는 규모와는 비교할 수 없을 정도로 작습니다. 향후 연구에서는 1,000개 이상의 노드를 갖춘 실제 분산 테스트베드에서 스트레스 테스트를 수행하여 극한 조건에서도 아키텍처의 확장성과 견고성을 추가적으로 검증해야 합니다.</w:t>
      </w:r>
    </w:p>
    <w:p w14:paraId="6A1816DF">
      <w:pPr>
        <w:rPr>
          <w:rFonts w:hint="eastAsia" w:ascii="仿宋" w:hAnsi="仿宋" w:eastAsia="仿宋" w:cs="仿宋"/>
        </w:rPr>
      </w:pPr>
      <w:r>
        <w:rPr>
          <w:rFonts w:hint="eastAsia" w:ascii="仿宋" w:hAnsi="仿宋" w:eastAsia="仿宋" w:cs="仿宋"/>
        </w:rPr>
        <w:t>둘째, 데이터 검증 범위가 제한적입니다. 실험 데이터는 MNIST 및 CIFAR와 같은 학술적 벤치마크 데이터셋을 기반으로 하며, 실제 산업 현장 데이터를 활용한 검증은 아직 부족합니다. 반도체 제조의 광학 검사 이미지, 화학 공정의 다변량 시계열 데이터, 물류 및 창고업의 RFID 궤적 데이터 등 다양한 산업 분야는 통계적 특성과 전문 지식이 크게 다르므로, 이에 맞춘 검증이 필요합니다. 향후에는 협력 기업의 실제 생산 환경에서 장기 연구를 수행하고 그 결과를 평가해야 합니다.</w:t>
      </w:r>
    </w:p>
    <w:p w14:paraId="03BE9D8D">
      <w:pPr>
        <w:rPr>
          <w:rFonts w:hint="eastAsia" w:ascii="仿宋" w:hAnsi="仿宋" w:eastAsia="仿宋" w:cs="仿宋"/>
        </w:rPr>
      </w:pPr>
      <w:r>
        <w:rPr>
          <w:rFonts w:hint="eastAsia" w:ascii="仿宋" w:hAnsi="仿宋" w:eastAsia="仿宋" w:cs="仿宋"/>
        </w:rPr>
        <w:t>셋째, 경제 모델의 가정을 점진적으로 완화해야 합니다. 현재의 메커니즘 설계는 위험 중립성, 단일 기간 정적 계약, 완전 합리성 등의 표준적인 가정에 기반하고 있습니다. 그러나 실제 시장에서는 참여자의 위험 회피 선호도, 다기간 동적 계약 하에서의 전략적 행동, 시장 참여자 간의 경쟁 및 담합과 같은 복잡한 요인들이 유인 효과에 상당한 영향을 미칠 수 있습니다. 행동 게임 이론과 동적 메커니즘 설계 이론을 도입하는 것은 모델의 현실 설명력을 향상시키는 중요한 방향입니다.</w:t>
      </w:r>
    </w:p>
    <w:p w14:paraId="4A5FED10">
      <w:pPr>
        <w:rPr>
          <w:rFonts w:hint="eastAsia" w:ascii="仿宋" w:hAnsi="仿宋" w:eastAsia="仿宋" w:cs="仿宋"/>
        </w:rPr>
      </w:pPr>
      <w:r>
        <w:rPr>
          <w:rFonts w:hint="eastAsia" w:ascii="仿宋" w:hAnsi="仿宋" w:eastAsia="仿宋" w:cs="仿宋"/>
        </w:rPr>
        <w:t>넷째, 적응성이 부족합니다. 현재 인센티브 가중치 조정은 미리 정의된 휴리스틱 스케줄링 전략에 의존하기 때문에 시장의 역동적인 변화(모델 공급 및 수요 변동, 신규 참여자 유입, 기술 패러다임 변화 등)를 인지하고 적응하는 능력이 부족합니다. 다중 에이전트 강화 학습(MARL) 기반의 적응형 인센티브 조정 메커니즘은 역동적이고 불확실한 환경에서 장기적인 사회 복지 향상을 달성할 가능성을 보여주며, 매우 유망한 연구 분야입니다.</w:t>
      </w:r>
    </w:p>
    <w:p w14:paraId="61025594">
      <w:pPr>
        <w:rPr>
          <w:rFonts w:hint="eastAsia" w:ascii="仿宋" w:hAnsi="仿宋" w:eastAsia="仿宋" w:cs="仿宋"/>
        </w:rPr>
      </w:pPr>
      <w:r>
        <w:rPr>
          <w:rFonts w:hint="eastAsia" w:ascii="仿宋" w:hAnsi="仿宋" w:eastAsia="仿宋" w:cs="仿宋"/>
        </w:rPr>
        <w:t>다섯째, 표준화 및 상호 운용성의 과제입니다. AI 모델 메타데이터 모델, 품질 평가 기준, 인센티브 정산 프로토콜의 산업 표준화는 제안된 시스템을 학술 프로토타입에서 산업 응용 분야로 발전시키기 위한 필수 조건입니다. 이를 위해서는 학계, 산업계, 그리고 표준화 기구(예: ISO/IEC JTC 1/SC 42 인공지능 소위원회)의 협력적인 노력이 필요합니다.</w:t>
      </w:r>
    </w:p>
    <w:p w14:paraId="238B83FF">
      <w:pPr>
        <w:rPr>
          <w:rFonts w:hint="eastAsia" w:ascii="仿宋" w:hAnsi="仿宋" w:eastAsia="仿宋" w:cs="仿宋"/>
        </w:rPr>
      </w:pPr>
      <w:r>
        <w:rPr>
          <w:rFonts w:hint="eastAsia" w:ascii="仿宋" w:hAnsi="仿宋" w:eastAsia="仿宋" w:cs="仿宋"/>
        </w:rPr>
        <w:t>앞서 언급한 한계점에도 불구하고, 본 연구는 산업 5.0에 부합하는 AI 모델 거래 시장을 위한 이론적 프레임워크, 아키텍처 설계 및 실험적 검증 시스템을 체계적으로 구축하여 안전하고 공정하며 지속 가능한 산업 AI 생태계 구축을 위한 견고한 학문적 토대를 마련했습니다. 엣지 인텔리전스, 웹3, 생성형 AI 기술의 융합이 가속화됨에 따라 거래 가능한 디지털 자산으로서의 AI 모델 개념은 머지않아 현실이 될 것이며, 본 연구 결과는 이러한 역사적인 과정에 긍정적이고 광범위한 영향을 미칠 것으로 기대됩니다.</w:t>
      </w:r>
    </w:p>
    <w:p w14:paraId="2FDFCC05">
      <w:pPr>
        <w:rPr>
          <w:rFonts w:hint="eastAsia" w:ascii="仿宋" w:hAnsi="仿宋" w:eastAsia="仿宋" w:cs="仿宋"/>
        </w:rPr>
      </w:pPr>
      <w:r>
        <w:rPr>
          <w:rFonts w:hint="eastAsia" w:ascii="仿宋" w:hAnsi="仿宋" w:eastAsia="仿宋" w:cs="仿宋"/>
        </w:rPr>
        <w:br w:type="page"/>
      </w:r>
    </w:p>
    <w:p w14:paraId="238A26F0">
      <w:pPr>
        <w:pStyle w:val="3"/>
        <w:jc w:val="center"/>
        <w:rPr>
          <w:rFonts w:hint="eastAsia" w:ascii="仿宋" w:hAnsi="仿宋" w:eastAsia="仿宋" w:cs="仿宋"/>
          <w:sz w:val="36"/>
          <w:szCs w:val="36"/>
        </w:rPr>
      </w:pPr>
      <w:bookmarkStart w:id="67" w:name="_Toc22782"/>
      <w:r>
        <w:rPr>
          <w:rFonts w:hint="eastAsia" w:ascii="仿宋" w:hAnsi="仿宋" w:eastAsia="仿宋" w:cs="仿宋"/>
          <w:sz w:val="36"/>
          <w:szCs w:val="36"/>
        </w:rPr>
        <w:t>참고 자료</w:t>
      </w:r>
      <w:bookmarkEnd w:id="67"/>
    </w:p>
    <w:p w14:paraId="38AE0601">
      <w:pPr>
        <w:rPr>
          <w:rFonts w:hint="eastAsia" w:ascii="仿宋" w:hAnsi="仿宋" w:eastAsia="仿宋" w:cs="仿宋"/>
        </w:rPr>
      </w:pPr>
      <w:r>
        <w:rPr>
          <w:rFonts w:hint="eastAsia" w:ascii="仿宋" w:hAnsi="仿宋" w:eastAsia="仿宋" w:cs="仿宋"/>
          <w:sz w:val="18"/>
        </w:rPr>
        <w:t>[1] 유럽 위원회. 산업 5.0: 지속 가능하고 인간 중심적이며 회복력 있는 유럽 산업을 향하여[R]. 룩셈부르크: 유럽 연합 출판 사무소, 2021.</w:t>
      </w:r>
    </w:p>
    <w:p w14:paraId="2711392E">
      <w:pPr>
        <w:rPr>
          <w:rFonts w:hint="eastAsia" w:ascii="仿宋" w:hAnsi="仿宋" w:eastAsia="仿宋" w:cs="仿宋"/>
        </w:rPr>
      </w:pPr>
      <w:r>
        <w:rPr>
          <w:rFonts w:hint="eastAsia" w:ascii="仿宋" w:hAnsi="仿宋" w:eastAsia="仿宋" w:cs="仿宋"/>
          <w:sz w:val="18"/>
        </w:rPr>
        <w:t>[2] Xu X, Lu Y, Vogel-Heuser B, et al. 산업 4.0 및 산업 5.0 - 시작, 개념 및 인식[J]. 제조 시스템 저널, 2021, 61: 530-535.</w:t>
      </w:r>
    </w:p>
    <w:p w14:paraId="610267B4">
      <w:pPr>
        <w:rPr>
          <w:rFonts w:hint="eastAsia" w:ascii="仿宋" w:hAnsi="仿宋" w:eastAsia="仿宋" w:cs="仿宋"/>
        </w:rPr>
      </w:pPr>
      <w:r>
        <w:rPr>
          <w:rFonts w:hint="eastAsia" w:ascii="仿宋" w:hAnsi="仿宋" w:eastAsia="仿宋" w:cs="仿宋"/>
          <w:sz w:val="18"/>
        </w:rPr>
        <w:t>[3] McKinsey &amp; Company. 2023년 AI 현황: 생성 AI의 도약의 해[R]. McKinsey Global Institute, 2023.</w:t>
      </w:r>
    </w:p>
    <w:p w14:paraId="1CEB10DE">
      <w:pPr>
        <w:rPr>
          <w:rFonts w:hint="eastAsia" w:ascii="仿宋" w:hAnsi="仿宋" w:eastAsia="仿宋" w:cs="仿宋"/>
        </w:rPr>
      </w:pPr>
      <w:r>
        <w:rPr>
          <w:rFonts w:hint="eastAsia" w:ascii="仿宋" w:hAnsi="仿宋" w:eastAsia="仿宋" w:cs="仿宋"/>
          <w:sz w:val="18"/>
        </w:rPr>
        <w:t>[4] Wolf T, Debut L, Sanh V, et al. HuggingFace의 Transformers: 최첨단 자연어 처리[C]. EMNLP 2020 회의록: 38-45.</w:t>
      </w:r>
    </w:p>
    <w:p w14:paraId="23E558E4">
      <w:pPr>
        <w:rPr>
          <w:rFonts w:hint="eastAsia" w:ascii="仿宋" w:hAnsi="仿宋" w:eastAsia="仿宋" w:cs="仿宋"/>
        </w:rPr>
      </w:pPr>
      <w:r>
        <w:rPr>
          <w:rFonts w:hint="eastAsia" w:ascii="仿宋" w:hAnsi="仿宋" w:eastAsia="仿宋" w:cs="仿宋"/>
          <w:sz w:val="18"/>
        </w:rPr>
        <w:t>[5] McMahan B, Moore E, Ramage D, et al. 분산 데이터로부터 심층 네트워크의 통신 효율 학습[C]. AISTATS 2017 회의록: 1273-1282.</w:t>
      </w:r>
    </w:p>
    <w:p w14:paraId="5FE25C8A">
      <w:pPr>
        <w:rPr>
          <w:rFonts w:hint="eastAsia" w:ascii="仿宋" w:hAnsi="仿宋" w:eastAsia="仿宋" w:cs="仿宋"/>
        </w:rPr>
      </w:pPr>
      <w:r>
        <w:rPr>
          <w:rFonts w:hint="eastAsia" w:ascii="仿宋" w:hAnsi="仿宋" w:eastAsia="仿宋" w:cs="仿宋"/>
          <w:sz w:val="18"/>
        </w:rPr>
        <w:t>[6] Kairouz P, McMahan HB, Avent B, et al. 연합 학습의 발전과 미해결 문제[J]. 기계 학습의 기초 및 동향, 2021, 14(1-2): 1-210.</w:t>
      </w:r>
    </w:p>
    <w:p w14:paraId="0BC140C0">
      <w:pPr>
        <w:rPr>
          <w:rFonts w:hint="eastAsia" w:ascii="仿宋" w:hAnsi="仿宋" w:eastAsia="仿宋" w:cs="仿宋"/>
        </w:rPr>
      </w:pPr>
      <w:r>
        <w:rPr>
          <w:rFonts w:hint="eastAsia" w:ascii="仿宋" w:hAnsi="仿宋" w:eastAsia="仿宋" w:cs="仿宋"/>
          <w:sz w:val="18"/>
        </w:rPr>
        <w:t>[7] Nakamoto S. Bitcoin: A Peer-to-Peer Electronic Cash System[EB/OL]. 2008. https://bitcoin.org/bitcoin.pdf.</w:t>
      </w:r>
    </w:p>
    <w:p w14:paraId="16BEAE09">
      <w:pPr>
        <w:rPr>
          <w:rFonts w:hint="eastAsia" w:ascii="仿宋" w:hAnsi="仿宋" w:eastAsia="仿宋" w:cs="仿宋"/>
        </w:rPr>
      </w:pPr>
      <w:r>
        <w:rPr>
          <w:rFonts w:hint="eastAsia" w:ascii="仿宋" w:hAnsi="仿宋" w:eastAsia="仿宋" w:cs="仿宋"/>
          <w:sz w:val="18"/>
        </w:rPr>
        <w:t>[8] Cachin C. Hyperledger 블록체인 패브릭의 아키텍처[C]. 분산 암호화폐 및 합의 원장 워크숍, 2016.</w:t>
      </w:r>
    </w:p>
    <w:p w14:paraId="1A077A7D">
      <w:pPr>
        <w:rPr>
          <w:rFonts w:hint="eastAsia" w:ascii="仿宋" w:hAnsi="仿宋" w:eastAsia="仿宋" w:cs="仿宋"/>
        </w:rPr>
      </w:pPr>
      <w:r>
        <w:rPr>
          <w:rFonts w:hint="eastAsia" w:ascii="仿宋" w:hAnsi="仿宋" w:eastAsia="仿宋" w:cs="仿宋"/>
          <w:sz w:val="18"/>
        </w:rPr>
        <w:t>[9] Li T, Sahu AK, Zaheer M, et al. 이종 네트워크에서의 연합 최적화[C]. MLSys 학회 회의록, 2020: 429-450.</w:t>
      </w:r>
    </w:p>
    <w:p w14:paraId="721D4613">
      <w:pPr>
        <w:rPr>
          <w:rFonts w:hint="eastAsia" w:ascii="仿宋" w:hAnsi="仿宋" w:eastAsia="仿宋" w:cs="仿宋"/>
        </w:rPr>
      </w:pPr>
      <w:r>
        <w:rPr>
          <w:rFonts w:hint="eastAsia" w:ascii="仿宋" w:hAnsi="仿宋" w:eastAsia="仿宋" w:cs="仿宋"/>
          <w:sz w:val="18"/>
        </w:rPr>
        <w:t>[10] Karimireddy SP, Kale S, Mohri M, et al. SCAFFOLD: 연합 학습을 위한 확률적 제어 평균화[C]. ICML 2020 회의록: 5132-5143.</w:t>
      </w:r>
    </w:p>
    <w:p w14:paraId="6C9B7C98">
      <w:pPr>
        <w:rPr>
          <w:rFonts w:hint="eastAsia" w:ascii="仿宋" w:hAnsi="仿宋" w:eastAsia="仿宋" w:cs="仿宋"/>
        </w:rPr>
      </w:pPr>
      <w:r>
        <w:rPr>
          <w:rFonts w:hint="eastAsia" w:ascii="仿宋" w:hAnsi="仿宋" w:eastAsia="仿宋" w:cs="仿宋"/>
          <w:sz w:val="18"/>
        </w:rPr>
        <w:t>[11] Wang J, Liu Q, Liang H, et al. 이종 연합 최적화에서 목적 불일치 문제 해결[C]. NeurIPS의 발전, 2020: 7611-7623.</w:t>
      </w:r>
    </w:p>
    <w:p w14:paraId="5087088F">
      <w:pPr>
        <w:rPr>
          <w:rFonts w:hint="eastAsia" w:ascii="仿宋" w:hAnsi="仿宋" w:eastAsia="仿宋" w:cs="仿宋"/>
        </w:rPr>
      </w:pPr>
      <w:r>
        <w:rPr>
          <w:rFonts w:hint="eastAsia" w:ascii="仿宋" w:hAnsi="仿宋" w:eastAsia="仿宋" w:cs="仿宋"/>
          <w:sz w:val="18"/>
        </w:rPr>
        <w:t>[12] Chen Y, Qin X, Wang J, et al. FedHealth: 웨어러블 헬스케어를 위한 연합 전이 학습 프레임워크[J]. IEEE 지능형 시스템, 2020, 35(4): 83-93.</w:t>
      </w:r>
    </w:p>
    <w:p w14:paraId="412A7C82">
      <w:pPr>
        <w:rPr>
          <w:rFonts w:hint="eastAsia" w:ascii="仿宋" w:hAnsi="仿宋" w:eastAsia="仿宋" w:cs="仿宋"/>
        </w:rPr>
      </w:pPr>
      <w:r>
        <w:rPr>
          <w:rFonts w:hint="eastAsia" w:ascii="仿宋" w:hAnsi="仿宋" w:eastAsia="仿宋" w:cs="仿宋"/>
          <w:sz w:val="18"/>
        </w:rPr>
        <w:t>[13] Liu Z, Chen Y, Yu H, et al. GTG-Shapley: 연합 학습에서 효율적이고 정확한 참여자 기여 평가[J]. ACM 지능형 시스템 및 기술 거래, 2022, 13(4): 1-21.</w:t>
      </w:r>
    </w:p>
    <w:p w14:paraId="65CDCAC3">
      <w:pPr>
        <w:rPr>
          <w:rFonts w:hint="eastAsia" w:ascii="仿宋" w:hAnsi="仿宋" w:eastAsia="仿宋" w:cs="仿宋"/>
        </w:rPr>
      </w:pPr>
      <w:r>
        <w:rPr>
          <w:rFonts w:hint="eastAsia" w:ascii="仿宋" w:hAnsi="仿宋" w:eastAsia="仿宋" w:cs="仿宋"/>
          <w:sz w:val="18"/>
        </w:rPr>
        <w:t>[14] Zhang P, Walker MA, White J, et al. 정보 중심 5G 네트워크를 위한 블록체인 기반 분산 인증[J]. IEEE Network, 2021, 35(3): 126-132.</w:t>
      </w:r>
    </w:p>
    <w:p w14:paraId="3BECA2EB">
      <w:pPr>
        <w:rPr>
          <w:rFonts w:hint="eastAsia" w:ascii="仿宋" w:hAnsi="仿宋" w:eastAsia="仿宋" w:cs="仿宋"/>
        </w:rPr>
      </w:pPr>
      <w:r>
        <w:rPr>
          <w:rFonts w:hint="eastAsia" w:ascii="仿宋" w:hAnsi="仿宋" w:eastAsia="仿宋" w:cs="仿宋"/>
          <w:sz w:val="18"/>
        </w:rPr>
        <w:t>[15] Kumar R, Khan AA, Kumar J, et al. CT 이미징을 이용한 COVID-19 감지를 위한 블록체인 연합 학습 및 딥 러닝 모델[J]. IEEE Sensors Journal, 2021, 21(14): 16301-16314.</w:t>
      </w:r>
    </w:p>
    <w:p w14:paraId="49946041">
      <w:pPr>
        <w:rPr>
          <w:rFonts w:hint="eastAsia" w:ascii="仿宋" w:hAnsi="仿宋" w:eastAsia="仿宋" w:cs="仿宋"/>
        </w:rPr>
      </w:pPr>
      <w:r>
        <w:rPr>
          <w:rFonts w:hint="eastAsia" w:ascii="仿宋" w:hAnsi="仿宋" w:eastAsia="仿宋" w:cs="仿宋"/>
          <w:sz w:val="18"/>
        </w:rPr>
        <w:t>[16] Kang J, Xiong Z, Niyato D 등. 신뢰할 수 있는 연합 학습을 위한 인센티브 메커니즘: 평판과 계약 이론을 결합한 공동 최적화 접근법[J]. IEEE 사물인터넷 저널, 2019, 6(6): 10700-10714.</w:t>
      </w:r>
    </w:p>
    <w:p w14:paraId="10EAF82C">
      <w:pPr>
        <w:rPr>
          <w:rFonts w:hint="eastAsia" w:ascii="仿宋" w:hAnsi="仿宋" w:eastAsia="仿宋" w:cs="仿宋"/>
        </w:rPr>
      </w:pPr>
      <w:r>
        <w:rPr>
          <w:rFonts w:hint="eastAsia" w:ascii="仿宋" w:hAnsi="仿宋" w:eastAsia="仿宋" w:cs="仿宋"/>
          <w:sz w:val="18"/>
        </w:rPr>
        <w:t>[17] Wang Y, Su Z, Zhang N, et al. 공중 학습: UAV 지원 크라우드센싱을 위한 안전한 연합 학습[J]. IEEE 네트워크 과학 및 공학 거래, 2021, 8(2): 1055-1069.</w:t>
      </w:r>
    </w:p>
    <w:p w14:paraId="1F96D621">
      <w:pPr>
        <w:rPr>
          <w:rFonts w:hint="eastAsia" w:ascii="仿宋" w:hAnsi="仿宋" w:eastAsia="仿宋" w:cs="仿宋"/>
        </w:rPr>
      </w:pPr>
      <w:r>
        <w:rPr>
          <w:rFonts w:hint="eastAsia" w:ascii="仿宋" w:hAnsi="仿宋" w:eastAsia="仿宋" w:cs="仿宋"/>
          <w:sz w:val="18"/>
        </w:rPr>
        <w:t>[18] Lin J, Chen W, Lin Y, et al. MCUNet: IoT 기기에서의 소형 딥러닝[C]. NeurIPS의 발전, 2020: 11711-11722.</w:t>
      </w:r>
    </w:p>
    <w:p w14:paraId="5019DB3A">
      <w:pPr>
        <w:rPr>
          <w:rFonts w:hint="eastAsia" w:ascii="仿宋" w:hAnsi="仿宋" w:eastAsia="仿宋" w:cs="仿宋"/>
        </w:rPr>
      </w:pPr>
      <w:r>
        <w:rPr>
          <w:rFonts w:hint="eastAsia" w:ascii="仿宋" w:hAnsi="仿宋" w:eastAsia="仿宋" w:cs="仿宋"/>
          <w:sz w:val="18"/>
        </w:rPr>
        <w:t>[19] Dwork C, Roth A. 차분 프라이버시의 알고리즘적 기초[J]. 이론 컴퓨터 과학의 기초 및 동향, 2014, 9(3-4): 211-407.</w:t>
      </w:r>
    </w:p>
    <w:p w14:paraId="52861FB7">
      <w:pPr>
        <w:rPr>
          <w:rFonts w:hint="eastAsia" w:ascii="仿宋" w:hAnsi="仿宋" w:eastAsia="仿宋" w:cs="仿宋"/>
        </w:rPr>
      </w:pPr>
      <w:r>
        <w:rPr>
          <w:rFonts w:hint="eastAsia" w:ascii="仿宋" w:hAnsi="仿宋" w:eastAsia="仿宋" w:cs="仿宋"/>
          <w:sz w:val="18"/>
        </w:rPr>
        <w:t>[20] Abadi M, Chu A, Goodfellow I, et al. 차분 프라이버시를 이용한 딥 러닝[C]. ACM CCS 2016 학술대회 논문집: 308-318.</w:t>
      </w:r>
    </w:p>
    <w:p w14:paraId="3C9E4DBC">
      <w:pPr>
        <w:rPr>
          <w:rFonts w:hint="eastAsia" w:ascii="仿宋" w:hAnsi="仿宋" w:eastAsia="仿宋" w:cs="仿宋"/>
        </w:rPr>
      </w:pPr>
      <w:r>
        <w:rPr>
          <w:rFonts w:hint="eastAsia" w:ascii="仿宋" w:hAnsi="仿宋" w:eastAsia="仿宋" w:cs="仿宋"/>
          <w:sz w:val="18"/>
        </w:rPr>
        <w:t>[21] Ghorbani A, Zou J. Data Shapley: 기계 학습을 위한 데이터의 공정한 평가[C]. ICML 2019 회의록: 2242-2251.</w:t>
      </w:r>
    </w:p>
    <w:p w14:paraId="5E5E7594">
      <w:pPr>
        <w:rPr>
          <w:rFonts w:hint="eastAsia" w:ascii="仿宋" w:hAnsi="仿宋" w:eastAsia="仿宋" w:cs="仿宋"/>
        </w:rPr>
      </w:pPr>
      <w:r>
        <w:rPr>
          <w:rFonts w:hint="eastAsia" w:ascii="仿宋" w:hAnsi="仿宋" w:eastAsia="仿宋" w:cs="仿宋"/>
          <w:sz w:val="18"/>
        </w:rPr>
        <w:t>[22] Shapley L. n인 게임에 대한 가치[M]. 게임 이론에 대한 기여, 제2권. 프린스턴 대학교 출판부, 1953: 307-317.</w:t>
      </w:r>
    </w:p>
    <w:p w14:paraId="50D09A31">
      <w:pPr>
        <w:rPr>
          <w:rFonts w:hint="eastAsia" w:ascii="仿宋" w:hAnsi="仿宋" w:eastAsia="仿宋" w:cs="仿宋"/>
        </w:rPr>
      </w:pPr>
      <w:r>
        <w:rPr>
          <w:rFonts w:hint="eastAsia" w:ascii="仿宋" w:hAnsi="仿宋" w:eastAsia="仿宋" w:cs="仿宋"/>
          <w:sz w:val="18"/>
        </w:rPr>
        <w:t>[23] Kairouz P, Oh S, Viswanath P. 차분 프라이버시를 위한 구성 정리[J]. IEEE 정보 이론 거래, 2017, 63(6): 4037-4049.</w:t>
      </w:r>
    </w:p>
    <w:p w14:paraId="4A906D51">
      <w:pPr>
        <w:rPr>
          <w:rFonts w:hint="eastAsia" w:ascii="仿宋" w:hAnsi="仿宋" w:eastAsia="仿宋" w:cs="仿宋"/>
        </w:rPr>
      </w:pPr>
      <w:r>
        <w:rPr>
          <w:rFonts w:hint="eastAsia" w:ascii="仿宋" w:hAnsi="仿宋" w:eastAsia="仿宋" w:cs="仿宋"/>
          <w:sz w:val="18"/>
        </w:rPr>
        <w:t>[24] Shokri R, Stronati M, Song C, et al. 머신러닝 모델에 대한 멤버십 추론 공격[C]. IEEE 보안 및 개인정보보호 심포지엄, 2017: 3-18.</w:t>
      </w:r>
    </w:p>
    <w:p w14:paraId="6759427C">
      <w:pPr>
        <w:rPr>
          <w:rFonts w:hint="eastAsia" w:ascii="仿宋" w:hAnsi="仿宋" w:eastAsia="仿宋" w:cs="仿宋"/>
        </w:rPr>
      </w:pPr>
      <w:r>
        <w:rPr>
          <w:rFonts w:hint="eastAsia" w:ascii="仿宋" w:hAnsi="仿宋" w:eastAsia="仿宋" w:cs="仿宋"/>
          <w:sz w:val="18"/>
        </w:rPr>
        <w:t>[25] Bonawitz K, Eichner H, Grieskamp W, et al. 대규모 연합 학습을 향하여: 시스템 설계[C]. MLSys 회의록, 2019: 374-388.</w:t>
      </w:r>
    </w:p>
    <w:p w14:paraId="5F342120">
      <w:pPr>
        <w:rPr>
          <w:rFonts w:hint="eastAsia" w:ascii="仿宋" w:hAnsi="仿宋" w:eastAsia="仿宋" w:cs="仿宋"/>
        </w:rPr>
      </w:pPr>
      <w:r>
        <w:rPr>
          <w:rFonts w:hint="eastAsia" w:ascii="仿宋" w:hAnsi="仿宋" w:eastAsia="仿宋" w:cs="仿宋"/>
        </w:rPr>
        <w:br w:type="page"/>
      </w:r>
    </w:p>
    <w:p w14:paraId="76E16CAA">
      <w:pPr>
        <w:pStyle w:val="3"/>
        <w:jc w:val="center"/>
        <w:rPr>
          <w:rFonts w:hint="default" w:ascii="Times New Roman" w:hAnsi="Times New Roman" w:eastAsia="仿宋" w:cs="Times New Roman"/>
          <w:sz w:val="36"/>
          <w:szCs w:val="36"/>
        </w:rPr>
      </w:pPr>
      <w:bookmarkStart w:id="68" w:name="_Toc7082"/>
      <w:r>
        <w:rPr>
          <w:rFonts w:hint="default" w:ascii="Times New Roman" w:hAnsi="Times New Roman" w:eastAsia="仿宋" w:cs="Times New Roman"/>
          <w:sz w:val="36"/>
          <w:szCs w:val="36"/>
        </w:rPr>
        <w:t>추상적인</w:t>
      </w:r>
      <w:bookmarkEnd w:id="68"/>
    </w:p>
    <w:p w14:paraId="19A27916">
      <w:pPr>
        <w:rPr>
          <w:rFonts w:hint="eastAsia" w:ascii="仿宋" w:hAnsi="仿宋" w:eastAsia="仿宋" w:cs="仿宋"/>
        </w:rPr>
      </w:pPr>
      <w:r>
        <w:rPr>
          <w:rFonts w:hint="eastAsia" w:ascii="仿宋" w:hAnsi="仿宋" w:eastAsia="仿宋" w:cs="仿宋"/>
        </w:rPr>
        <w:t>인더스트리 5.0은 인간 중심성, 지속가능성, 회복력을 핵심 가치로 삼아 인간과 기계의 심층적인 협업을 목표로 합니다. 이러한 패러다임 전환 속에서 엣지 디바이스에서 학습된 AI 모델은 기업의 핵심 디지털 자산으로 부상했지만, 이러한 모델을 공유하고 거래할 수 있는 안전하고 공정하며 효율적인 프레임워크는 아직 미흡한 실정입니다. 본 연구는 인더스트리 5.0 환경에 최적화된 AI 모델 교환 시장을 위한 포괄적인 아키텍처와 인센티브 메커니즘을 제안합니다.</w:t>
      </w:r>
    </w:p>
    <w:p w14:paraId="001FF108">
      <w:pPr>
        <w:rPr>
          <w:rFonts w:hint="eastAsia" w:ascii="仿宋" w:hAnsi="仿宋" w:eastAsia="仿宋" w:cs="仿宋"/>
        </w:rPr>
      </w:pPr>
      <w:r>
        <w:rPr>
          <w:rFonts w:hint="eastAsia" w:ascii="仿宋" w:hAnsi="仿宋" w:eastAsia="仿宋" w:cs="仿宋"/>
        </w:rPr>
        <w:t>엣지 컴퓨팅, 연합 학습, 블록체인, 차분 프라이버시 및 안전한 다자간 컴퓨팅을 통합하는 5계층 하이브리드 아키텍처를 설계했습니다. 계약 이론과 Shapley 값 기반 분배를 결합한 2단계 인센티브 메커니즘을 정형화했습니다. MNIST, Fashion-MNIST, CIFAR-10 및 CIFAR-100 데이터셋에 대한 광범위한 실험을 통해 제안된 방법이 FedAvg보다 최대 3.17%p 높은 정확도를 달성하고, 지니 계수를 0.285로 낮추며, 차분 프라이버시(ε=1.0)를 적용했을 때 MIA 공격 성공률을 82.0% 감소시키는 것을 입증했습니다. 프로토타입은 100개 노드에서 95.8%의 성공률로 초당 820건의 트랜잭션을 처리합니다.</w:t>
      </w:r>
    </w:p>
    <w:p w14:paraId="03D8938A">
      <w:pPr>
        <w:rPr>
          <w:rFonts w:hint="eastAsia" w:ascii="仿宋" w:hAnsi="仿宋" w:eastAsia="仿宋" w:cs="仿宋"/>
        </w:rPr>
      </w:pPr>
      <w:r>
        <w:rPr>
          <w:rFonts w:hint="eastAsia" w:ascii="仿宋" w:hAnsi="仿宋" w:eastAsia="仿宋" w:cs="仿宋"/>
        </w:rPr>
        <w:t>본 연구는 인더스트리 5.0 시대에 안전하고 공정하며 지속 가능한 산업용 AI 생태계를 구축하기 위한 이론적 기반과 실질적인 지침을 모두 제공합니다.</w:t>
      </w:r>
    </w:p>
    <w:p w14:paraId="11903854">
      <w:pPr>
        <w:rPr>
          <w:rFonts w:hint="eastAsia" w:ascii="仿宋" w:hAnsi="仿宋" w:eastAsia="仿宋" w:cs="仿宋"/>
        </w:rPr>
      </w:pPr>
      <w:r>
        <w:rPr>
          <w:rFonts w:hint="eastAsia" w:ascii="仿宋" w:hAnsi="仿宋" w:eastAsia="仿宋" w:cs="仿宋"/>
          <w:b/>
        </w:rPr>
        <w:t>핵심어: 인더스트리 5.0, AI 모델 교환 시장, 연합 학습, 블록체인, 인센티브 메커니즘, 차분 프라이버시, 샤플리 값</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FB765A"/>
    <w:rsid w:val="40D7670E"/>
    <w:rsid w:val="65BF660F"/>
    <w:rsid w:val="700C2D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宋体" w:cstheme="minorBidi"/>
      <w:sz w:val="24"/>
      <w:szCs w:val="22"/>
      <w:lang w:val="ko" w:eastAsia="ko"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ko" w:eastAsia="ko"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ko" w:eastAsia="ko"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22655</Words>
  <Characters>27211</Characters>
  <Lines>0</Lines>
  <Paragraphs>0</Paragraphs>
  <TotalTime>6</TotalTime>
  <ScaleCrop>false</ScaleCrop>
  <LinksUpToDate>false</LinksUpToDate>
  <CharactersWithSpaces>34719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晴舒曦</cp:lastModifiedBy>
  <dcterms:modified xsi:type="dcterms:W3CDTF">2026-06-16T07:52:30Z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eyJoZGlkIjoiMjM2ZDgzOWZlMDlkNzFkN2QxMjJkOWNlNWM1MWQ0MTgiLCJ1c2VySWQiOiI3NDIwODk0NjQifQ==</vt:lpwstr>
  </property>
  <property fmtid="{D5CDD505-2E9C-101B-9397-08002B2CF9AE}" pid="3" name="KSOProductBuildVer">
    <vt:lpwstr>2052-12.1.0.25225</vt:lpwstr>
  </property>
  <property fmtid="{D5CDD505-2E9C-101B-9397-08002B2CF9AE}" pid="4" name="ICV">
    <vt:lpwstr>69BF3C988C6449A1A7C7F88A93C5D7C7_12</vt:lpwstr>
  </property>
</Properties>
</file>